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3" w:rsidRDefault="00D93E4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4A1893" w:rsidRDefault="004A1893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2194C10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4A1893" w:rsidRDefault="004A1893">
      <w:pPr>
        <w:jc w:val="center"/>
        <w:rPr>
          <w:szCs w:val="22"/>
        </w:rPr>
      </w:pPr>
    </w:p>
    <w:p w:rsidR="004A1893" w:rsidRDefault="004A1893">
      <w:pPr>
        <w:jc w:val="center"/>
        <w:rPr>
          <w:szCs w:val="22"/>
        </w:rPr>
      </w:pPr>
    </w:p>
    <w:p w:rsidR="004A1893" w:rsidRDefault="004A1893">
      <w:pPr>
        <w:jc w:val="center"/>
        <w:rPr>
          <w:szCs w:val="22"/>
        </w:rPr>
      </w:pPr>
    </w:p>
    <w:p w:rsidR="004A1893" w:rsidRDefault="00D93E40">
      <w:pPr>
        <w:jc w:val="center"/>
        <w:rPr>
          <w:b/>
          <w:sz w:val="24"/>
          <w:u w:val="single"/>
        </w:rPr>
      </w:pPr>
      <w:r>
        <w:rPr>
          <w:szCs w:val="22"/>
        </w:rPr>
        <w:t xml:space="preserve"> </w:t>
      </w:r>
      <w:r>
        <w:rPr>
          <w:b/>
          <w:sz w:val="24"/>
          <w:u w:val="single"/>
        </w:rPr>
        <w:t>Výroční zpráva Ministerstva zemědělství o poskytování informací</w:t>
      </w:r>
    </w:p>
    <w:p w:rsidR="004A1893" w:rsidRDefault="00D93E4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podle zákona č. 106/1999 Sb., o svobodném přístupu k informacím, ve znění pozdějších předpisů - za rok 2019</w:t>
      </w:r>
    </w:p>
    <w:p w:rsidR="004A1893" w:rsidRDefault="004A1893">
      <w:pPr>
        <w:rPr>
          <w:szCs w:val="22"/>
        </w:rPr>
      </w:pPr>
    </w:p>
    <w:p w:rsidR="004A1893" w:rsidRDefault="004A1893">
      <w:pPr>
        <w:rPr>
          <w:szCs w:val="22"/>
        </w:rPr>
      </w:pPr>
    </w:p>
    <w:p w:rsidR="004A1893" w:rsidRDefault="004A1893">
      <w:pPr>
        <w:rPr>
          <w:szCs w:val="22"/>
        </w:rPr>
      </w:pPr>
    </w:p>
    <w:p w:rsidR="004A1893" w:rsidRDefault="00D93E40">
      <w:pPr>
        <w:spacing w:line="276" w:lineRule="auto"/>
        <w:rPr>
          <w:szCs w:val="22"/>
        </w:rPr>
      </w:pPr>
      <w:r>
        <w:rPr>
          <w:szCs w:val="22"/>
        </w:rPr>
        <w:t>Ministerstvo zemědělství v souladu s ustanovením § 18</w:t>
      </w:r>
      <w:r>
        <w:rPr>
          <w:szCs w:val="22"/>
        </w:rPr>
        <w:t xml:space="preserve"> odst. 1 zákona č. 106/1999 Sb., </w:t>
      </w:r>
      <w:r>
        <w:br/>
      </w:r>
      <w:r>
        <w:rPr>
          <w:szCs w:val="22"/>
        </w:rPr>
        <w:t xml:space="preserve">o svobodném přístupu k informacím, ve znění pozdějších předpisů (dále jen „InfZ“), tímto zveřejňuje výroční zprávu za rok 2019 o své činnosti v oblasti poskytování informací podle citovaného zákona a poskytuje následující </w:t>
      </w:r>
      <w:r>
        <w:rPr>
          <w:szCs w:val="22"/>
        </w:rPr>
        <w:t>údaje: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Na Ministerstvo zemědělství (dále jen „MZe“) bylo podáno celkem 181 žádostí  </w:t>
      </w:r>
      <w:r>
        <w:br/>
      </w:r>
      <w:r>
        <w:rPr>
          <w:szCs w:val="22"/>
        </w:rPr>
        <w:t xml:space="preserve">o informace ve smyslu InfZ. Vydáno bylo celkem 27 rozhodnutí o odmítnutí žádosti nebo </w:t>
      </w:r>
      <w:r>
        <w:br/>
      </w:r>
      <w:r>
        <w:rPr>
          <w:szCs w:val="22"/>
        </w:rPr>
        <w:t>o odmítnutí části žádosti podle § 15 InfZ a 1 rozhodnutí o odmítnutí žádosti z důvod</w:t>
      </w:r>
      <w:r>
        <w:rPr>
          <w:szCs w:val="22"/>
        </w:rPr>
        <w:t>u jejího neupřesnění [§ 14 odst. 5 písm. b)].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Proti rozhodnutí MZe byla podána 2 odvolání, ke kterým byly vydány 2 rozklady. 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>Nebyl vydán žádný rozsudek soudu ve věci přezkoumání zákonnosti rozhodnutí povinného subjektu o odmítnutí žádosti o poskytnutí inf</w:t>
      </w:r>
      <w:r>
        <w:rPr>
          <w:szCs w:val="22"/>
        </w:rPr>
        <w:t>ormace.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>Nebyla poskytnuta žádná výhradní licence.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Bylo podáno celkem 12 stížností podle § 16a InfZ, z toho 3 proti MZe. </w:t>
      </w:r>
    </w:p>
    <w:p w:rsidR="004A1893" w:rsidRDefault="00D93E40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Důvodem 2 stížností byl nesouhlas s postupem při vyřizování žádosti ministerstvem, kterým bylo v autoremeduře vyhověno doplněním inform</w:t>
      </w:r>
      <w:r>
        <w:rPr>
          <w:szCs w:val="22"/>
        </w:rPr>
        <w:t xml:space="preserve">ace. Důvodem jedné stížnosti byl nesouhlas s výší úhrady, která byla ministrem potvrzena. </w:t>
      </w:r>
    </w:p>
    <w:p w:rsidR="004A1893" w:rsidRDefault="00D93E40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9 stížností bylo postoupeno MZe jako nadřízenému orgánu a byly vyřízeny následujícím způsobem: u 2 stížností byl potvrzen postup povinného subjektu a v 7 případech b</w:t>
      </w:r>
      <w:r>
        <w:rPr>
          <w:szCs w:val="22"/>
        </w:rPr>
        <w:t>yla snížena výše úhrady vyčíslená povinným subjektem.</w:t>
      </w:r>
    </w:p>
    <w:p w:rsidR="004A1893" w:rsidRDefault="00D93E40">
      <w:pPr>
        <w:numPr>
          <w:ilvl w:val="0"/>
          <w:numId w:val="35"/>
        </w:numPr>
        <w:tabs>
          <w:tab w:val="clear" w:pos="720"/>
        </w:tabs>
        <w:spacing w:before="240" w:line="276" w:lineRule="auto"/>
        <w:ind w:left="357" w:hanging="357"/>
        <w:rPr>
          <w:szCs w:val="22"/>
        </w:rPr>
      </w:pPr>
      <w:r>
        <w:rPr>
          <w:szCs w:val="22"/>
        </w:rPr>
        <w:t xml:space="preserve">Na MZe bylo postoupeno 7 odvolání podřízenými organizacemi a vydáno 7 rozhodnutí </w:t>
      </w:r>
      <w:r>
        <w:br/>
      </w:r>
      <w:r>
        <w:rPr>
          <w:szCs w:val="22"/>
        </w:rPr>
        <w:t xml:space="preserve">o odvolání jako nadřízený orgán. </w:t>
      </w:r>
    </w:p>
    <w:p w:rsidR="004A1893" w:rsidRDefault="004A1893">
      <w:pPr>
        <w:spacing w:before="240" w:line="276" w:lineRule="auto"/>
        <w:ind w:left="357"/>
        <w:rPr>
          <w:szCs w:val="22"/>
        </w:rPr>
      </w:pPr>
    </w:p>
    <w:p w:rsidR="004A1893" w:rsidRDefault="00D93E40">
      <w:pPr>
        <w:spacing w:before="240" w:line="276" w:lineRule="auto"/>
        <w:ind w:left="357"/>
        <w:rPr>
          <w:szCs w:val="22"/>
        </w:rPr>
      </w:pPr>
      <w:r>
        <w:rPr>
          <w:szCs w:val="22"/>
        </w:rPr>
        <w:t>V 5 případech byla požadována úhrada za poskytnutí informace a ve 2 případech zaplace</w:t>
      </w:r>
      <w:r>
        <w:rPr>
          <w:szCs w:val="22"/>
        </w:rPr>
        <w:t>na, a to v celkové výši 1 894,- Kč.</w:t>
      </w:r>
    </w:p>
    <w:p w:rsidR="004A1893" w:rsidRDefault="004A1893">
      <w:pPr>
        <w:spacing w:before="240"/>
        <w:ind w:left="357"/>
        <w:rPr>
          <w:szCs w:val="22"/>
        </w:rPr>
      </w:pPr>
    </w:p>
    <w:p w:rsidR="004A1893" w:rsidRDefault="004A1893">
      <w:pPr>
        <w:spacing w:before="120"/>
        <w:rPr>
          <w:szCs w:val="22"/>
        </w:rPr>
      </w:pPr>
    </w:p>
    <w:tbl>
      <w:tblPr>
        <w:tblW w:w="7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595"/>
      </w:tblGrid>
      <w:tr w:rsidR="004A1893">
        <w:trPr>
          <w:trHeight w:val="1134"/>
          <w:jc w:val="center"/>
        </w:trPr>
        <w:tc>
          <w:tcPr>
            <w:tcW w:w="7382" w:type="dxa"/>
            <w:gridSpan w:val="2"/>
            <w:shd w:val="clear" w:color="auto" w:fill="F3F3F3"/>
            <w:vAlign w:val="center"/>
          </w:tcPr>
          <w:p w:rsidR="004A1893" w:rsidRDefault="00D93E4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Přehled o poskytování informací podle zákona č. 106/1999 Sb. – </w:t>
            </w:r>
            <w:r>
              <w:br/>
            </w:r>
            <w:r>
              <w:rPr>
                <w:b/>
                <w:szCs w:val="22"/>
              </w:rPr>
              <w:t>za rok 2019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Počet podaných žádostí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181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Počet rozhodnutí o odmítnutí žádosti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 xml:space="preserve">Počet odvolání proti rozhodnutí 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Počet rozhodnutí o odvolání  - rozkladů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Počet rozhodnutí o odvoláních postoupených MZe jako nadřízenému orgánu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 xml:space="preserve">Počet stížností 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Z toho stížností postoupených MZe jako nadřízenému orgánu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 xml:space="preserve">Počet </w:t>
            </w:r>
            <w:r>
              <w:rPr>
                <w:szCs w:val="22"/>
              </w:rPr>
              <w:t>požadovaných / zaplacených úhrad     za poskytnutí informace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 / 2</w:t>
            </w:r>
          </w:p>
        </w:tc>
      </w:tr>
      <w:tr w:rsidR="004A1893">
        <w:trPr>
          <w:trHeight w:val="1110"/>
          <w:jc w:val="center"/>
        </w:trPr>
        <w:tc>
          <w:tcPr>
            <w:tcW w:w="4787" w:type="dxa"/>
            <w:shd w:val="clear" w:color="auto" w:fill="F3F3F3"/>
            <w:vAlign w:val="center"/>
          </w:tcPr>
          <w:p w:rsidR="004A1893" w:rsidRDefault="00D93E40">
            <w:pPr>
              <w:rPr>
                <w:szCs w:val="22"/>
              </w:rPr>
            </w:pPr>
            <w:r>
              <w:rPr>
                <w:szCs w:val="22"/>
              </w:rPr>
              <w:t>Celková suma úhrad (v Kč)</w:t>
            </w:r>
          </w:p>
        </w:tc>
        <w:tc>
          <w:tcPr>
            <w:tcW w:w="2595" w:type="dxa"/>
            <w:vAlign w:val="center"/>
          </w:tcPr>
          <w:p w:rsidR="004A1893" w:rsidRDefault="00D93E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1 894</w:t>
            </w:r>
          </w:p>
        </w:tc>
      </w:tr>
    </w:tbl>
    <w:p w:rsidR="004A1893" w:rsidRDefault="004A1893">
      <w:pPr>
        <w:spacing w:before="240"/>
      </w:pPr>
    </w:p>
    <w:p w:rsidR="004A1893" w:rsidRDefault="004A1893">
      <w:pPr>
        <w:spacing w:before="240"/>
        <w:ind w:left="357"/>
        <w:rPr>
          <w:szCs w:val="22"/>
        </w:rPr>
      </w:pPr>
    </w:p>
    <w:p w:rsidR="004A1893" w:rsidRDefault="004A1893">
      <w:pPr>
        <w:spacing w:before="240"/>
        <w:ind w:left="357"/>
        <w:rPr>
          <w:szCs w:val="22"/>
        </w:rPr>
      </w:pPr>
    </w:p>
    <w:p w:rsidR="004A1893" w:rsidRDefault="004A1893">
      <w:pPr>
        <w:spacing w:before="240"/>
        <w:ind w:left="357"/>
        <w:rPr>
          <w:szCs w:val="22"/>
        </w:rPr>
      </w:pPr>
    </w:p>
    <w:p w:rsidR="004A1893" w:rsidRDefault="004A1893">
      <w:pPr>
        <w:spacing w:before="240"/>
        <w:ind w:left="357"/>
        <w:rPr>
          <w:szCs w:val="22"/>
        </w:rPr>
      </w:pPr>
    </w:p>
    <w:p w:rsidR="004A1893" w:rsidRDefault="00D93E40">
      <w:pPr>
        <w:spacing w:before="240" w:line="276" w:lineRule="auto"/>
        <w:rPr>
          <w:szCs w:val="22"/>
        </w:rPr>
      </w:pPr>
      <w:r>
        <w:rPr>
          <w:szCs w:val="22"/>
        </w:rPr>
        <w:t>Žádosti o informace se týkaly především:</w:t>
      </w:r>
    </w:p>
    <w:p w:rsidR="004A1893" w:rsidRDefault="004A1893">
      <w:pPr>
        <w:spacing w:before="240" w:line="276" w:lineRule="auto"/>
        <w:rPr>
          <w:szCs w:val="22"/>
        </w:rPr>
      </w:pP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přehledu vyplacených dotací – informací o příjemcích a výši poskytnutých finančních prostředků;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oblasti vodního hospodářství – protipovodňových opatření, vodovodů a kanalizací (vodné a stočné), ČOV, stavby vodního díla;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potravin – bezpečnosti potravin, prodeje polského masa, doplňků stravy;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personální politiky - odměňování vybraných pracovníků minist</w:t>
      </w:r>
      <w:r>
        <w:rPr>
          <w:szCs w:val="22"/>
        </w:rPr>
        <w:t>erstva, benefitů, smluv, organizační struktury, systemizace, zahraničních služebních cest;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poskytnutí dokumentů – korespondence, zápisů z jednání, rozhodnutí vydaných MZe, dokumentů z archivu;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střetu zájmů – auditních zpráv;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informací o odpovědnosti za prů</w:t>
      </w:r>
      <w:r>
        <w:rPr>
          <w:szCs w:val="22"/>
        </w:rPr>
        <w:t>tahy ve správním řízení, náhrady škody (regrese);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oblasti lesního hospodářství a myslivosti – honebních společenstev a hranic honiteb, ochrany lesa a rekultivace, lovu zvěře;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činnosti Vinařského fondu a značení vín;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živočišných komodit – ochrany zvířat, ri</w:t>
      </w:r>
      <w:r>
        <w:rPr>
          <w:szCs w:val="22"/>
        </w:rPr>
        <w:t>tuálních porážek, kompenzace chovatelům kožešinových zvířat, uznání chovu;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rostlinných komodit – používání ochranných prostředků, pěstování konopí, máku a GMO;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jc w:val="left"/>
        <w:rPr>
          <w:szCs w:val="22"/>
        </w:rPr>
      </w:pPr>
      <w:r>
        <w:rPr>
          <w:szCs w:val="22"/>
        </w:rPr>
        <w:t>rozpočtu a úsporných opatření;</w:t>
      </w:r>
    </w:p>
    <w:p w:rsidR="004A1893" w:rsidRDefault="00D93E40">
      <w:pPr>
        <w:numPr>
          <w:ilvl w:val="1"/>
          <w:numId w:val="35"/>
        </w:numPr>
        <w:tabs>
          <w:tab w:val="clear" w:pos="1440"/>
        </w:tabs>
        <w:spacing w:before="60" w:line="276" w:lineRule="auto"/>
        <w:ind w:left="426" w:hanging="426"/>
        <w:rPr>
          <w:szCs w:val="22"/>
        </w:rPr>
      </w:pPr>
      <w:r>
        <w:rPr>
          <w:szCs w:val="22"/>
        </w:rPr>
        <w:t>smluv na poradenské a právní služby, veřejných zakázek.</w:t>
      </w:r>
    </w:p>
    <w:p w:rsidR="004A1893" w:rsidRDefault="004A1893">
      <w:pPr>
        <w:rPr>
          <w:szCs w:val="22"/>
        </w:rPr>
      </w:pPr>
    </w:p>
    <w:sectPr w:rsidR="004A1893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40" w:rsidRDefault="00D93E40">
      <w:r>
        <w:separator/>
      </w:r>
    </w:p>
  </w:endnote>
  <w:endnote w:type="continuationSeparator" w:id="0">
    <w:p w:rsidR="00D93E40" w:rsidRDefault="00D9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3" w:rsidRDefault="00D93E40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3671/2020-MZE-10041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16581F">
      <w:rPr>
        <w:noProof/>
      </w:rPr>
      <w:t>3</w:t>
    </w:r>
    <w:r>
      <w:fldChar w:fldCharType="end"/>
    </w:r>
  </w:p>
  <w:p w:rsidR="004A1893" w:rsidRDefault="004A18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40" w:rsidRDefault="00D93E40">
      <w:r>
        <w:separator/>
      </w:r>
    </w:p>
  </w:footnote>
  <w:footnote w:type="continuationSeparator" w:id="0">
    <w:p w:rsidR="00D93E40" w:rsidRDefault="00D9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3" w:rsidRDefault="00D93E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7a55e4-d191-423e-9aa4-c6636e0612b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3" w:rsidRDefault="00D93E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c7095f5-eded-4de1-81c1-958a78a213c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3" w:rsidRDefault="00D93E4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a088c9-5c05-4df8-a020-6640b74a56d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6AAF2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B2B8DE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0EBCC1B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8A7429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1B5258F2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BF14F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00667F8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3F669D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A79A35D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0000000A"/>
    <w:multiLevelType w:val="multilevel"/>
    <w:tmpl w:val="35C2B3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07E423A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1">
    <w:nsid w:val="0000000C"/>
    <w:multiLevelType w:val="multilevel"/>
    <w:tmpl w:val="4E104A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7EF4BC0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3">
    <w:nsid w:val="0000000E"/>
    <w:multiLevelType w:val="multilevel"/>
    <w:tmpl w:val="707EEA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C6D09B6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5">
    <w:nsid w:val="00000010"/>
    <w:multiLevelType w:val="multilevel"/>
    <w:tmpl w:val="2A1CE3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4112CC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C70A7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52EA4A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AD5C4A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F36AC4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950A4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2E0CC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99C0D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0A48AB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A12465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0000001B"/>
    <w:multiLevelType w:val="multilevel"/>
    <w:tmpl w:val="272883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1924F8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CA849F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0000001E"/>
    <w:multiLevelType w:val="multilevel"/>
    <w:tmpl w:val="A3A2F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0000001F"/>
    <w:multiLevelType w:val="multilevel"/>
    <w:tmpl w:val="78944D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DCEA7F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9FF4DB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00000022"/>
    <w:multiLevelType w:val="multilevel"/>
    <w:tmpl w:val="F800D6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00000023"/>
    <w:multiLevelType w:val="multilevel"/>
    <w:tmpl w:val="2F74B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multilevel"/>
    <w:tmpl w:val="58763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00000025"/>
    <w:multiLevelType w:val="multilevel"/>
    <w:tmpl w:val="F4806F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00000026"/>
    <w:multiLevelType w:val="multilevel"/>
    <w:tmpl w:val="69E28E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00000027"/>
    <w:multiLevelType w:val="multilevel"/>
    <w:tmpl w:val="6F3247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260962163671/2020-MZE-10041"/>
    <w:docVar w:name="dms_cj" w:val="3671/2020-MZE-10041"/>
    <w:docVar w:name="dms_datum" w:val="3. 2. 2020"/>
    <w:docVar w:name="dms_datum_textem" w:val="3. února 2020"/>
    <w:docVar w:name="dms_datum_vzniku" w:val="23. 1. 2020 10:38:51"/>
    <w:docVar w:name="dms_nadrizeny_reditel" w:val="Ing. Karol Peša"/>
    <w:docVar w:name="dms_ObsahParam1" w:val=" "/>
    <w:docVar w:name="dms_otisk_razitka" w:val=" "/>
    <w:docVar w:name="dms_PNASpravce" w:val=" 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3VD1657/2020-10041"/>
    <w:docVar w:name="dms_spravce_jmeno" w:val="Ing. Milena Sedláčková"/>
    <w:docVar w:name="dms_spravce_mail" w:val="Milena.Sedlackova@mze.cz"/>
    <w:docVar w:name="dms_spravce_telefon" w:val="221812425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Výroční zpráva MZe o poskytování informací podle zákona č. 106/1999 Sb. - za rok 2019"/>
    <w:docVar w:name="dms_VNVSpravce" w:val=" "/>
    <w:docVar w:name="dms_zpracoval_jmeno" w:val="Ing. Milena Sedláčková"/>
    <w:docVar w:name="dms_zpracoval_mail" w:val="Milena.Sedlackova@mze.cz"/>
    <w:docVar w:name="dms_zpracoval_telefon" w:val="221812425"/>
  </w:docVars>
  <w:rsids>
    <w:rsidRoot w:val="004A1893"/>
    <w:rsid w:val="0016581F"/>
    <w:rsid w:val="004A1893"/>
    <w:rsid w:val="00D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Sedláčková Milena</cp:lastModifiedBy>
  <cp:revision>17</cp:revision>
  <cp:lastPrinted>2020-01-29T15:08:00Z</cp:lastPrinted>
  <dcterms:created xsi:type="dcterms:W3CDTF">2011-07-18T14:47:00Z</dcterms:created>
  <dcterms:modified xsi:type="dcterms:W3CDTF">2020-01-29T15:08:00Z</dcterms:modified>
</cp:coreProperties>
</file>