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4837AB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bookmarkStart w:id="0" w:name="_GoBack"/>
      <w:bookmarkEnd w:id="0"/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 xml:space="preserve">ího zahraničního obchodu ČR 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</w:t>
      </w:r>
      <w:r w:rsidR="0045594A">
        <w:rPr>
          <w:rFonts w:cs="Arial"/>
          <w:b/>
          <w:bCs/>
          <w:smallCaps/>
          <w:kern w:val="36"/>
          <w:sz w:val="28"/>
          <w:szCs w:val="22"/>
        </w:rPr>
        <w:t> </w:t>
      </w:r>
      <w:r w:rsidR="0072747B">
        <w:rPr>
          <w:rFonts w:cs="Arial"/>
          <w:b/>
          <w:bCs/>
          <w:smallCaps/>
          <w:kern w:val="36"/>
          <w:sz w:val="28"/>
          <w:szCs w:val="22"/>
        </w:rPr>
        <w:t>roce</w:t>
      </w:r>
      <w:r w:rsidR="00DE61A3" w:rsidRPr="004837AB">
        <w:rPr>
          <w:rFonts w:cs="Arial"/>
          <w:b/>
          <w:bCs/>
          <w:smallCaps/>
          <w:kern w:val="36"/>
          <w:sz w:val="28"/>
          <w:szCs w:val="22"/>
        </w:rPr>
        <w:t xml:space="preserve"> </w:t>
      </w:r>
      <w:r w:rsidR="002E580F" w:rsidRPr="004837AB">
        <w:rPr>
          <w:rFonts w:cs="Arial"/>
          <w:b/>
          <w:bCs/>
          <w:smallCaps/>
          <w:kern w:val="36"/>
          <w:sz w:val="28"/>
          <w:szCs w:val="22"/>
        </w:rPr>
        <w:t>201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>6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2C7DE0" w:rsidRDefault="00C83E71" w:rsidP="002C7DE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Agrární zboží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 v</w:t>
      </w:r>
      <w:r w:rsidR="002C7DE0">
        <w:rPr>
          <w:rFonts w:cs="Arial"/>
          <w:sz w:val="22"/>
          <w:szCs w:val="22"/>
        </w:rPr>
        <w:t> rámci celkového českého</w:t>
      </w:r>
      <w:r w:rsidR="002C7DE0" w:rsidRPr="00E12AC7">
        <w:rPr>
          <w:rFonts w:cs="Arial"/>
          <w:sz w:val="22"/>
          <w:szCs w:val="22"/>
        </w:rPr>
        <w:t xml:space="preserve"> </w:t>
      </w:r>
      <w:r w:rsidR="002C7DE0">
        <w:rPr>
          <w:rFonts w:cs="Arial"/>
          <w:sz w:val="22"/>
          <w:szCs w:val="22"/>
        </w:rPr>
        <w:t>zahraničního obchodu</w:t>
      </w:r>
      <w:r w:rsidR="002C7DE0" w:rsidRPr="00E12AC7">
        <w:rPr>
          <w:rFonts w:cs="Arial"/>
          <w:sz w:val="22"/>
          <w:szCs w:val="22"/>
        </w:rPr>
        <w:t xml:space="preserve"> zaujímalo </w:t>
      </w:r>
      <w:r>
        <w:rPr>
          <w:rFonts w:cs="Arial"/>
          <w:sz w:val="22"/>
          <w:szCs w:val="22"/>
        </w:rPr>
        <w:t xml:space="preserve">v roce 2016 </w:t>
      </w:r>
      <w:r w:rsidR="002C7DE0">
        <w:rPr>
          <w:rFonts w:cs="Arial"/>
          <w:sz w:val="22"/>
          <w:szCs w:val="22"/>
        </w:rPr>
        <w:t xml:space="preserve">na straně </w:t>
      </w:r>
      <w:r>
        <w:rPr>
          <w:rFonts w:cs="Arial"/>
          <w:sz w:val="22"/>
          <w:szCs w:val="22"/>
        </w:rPr>
        <w:t>vývozu</w:t>
      </w:r>
      <w:r w:rsidR="002C7DE0">
        <w:rPr>
          <w:rFonts w:cs="Arial"/>
          <w:sz w:val="22"/>
          <w:szCs w:val="22"/>
        </w:rPr>
        <w:t xml:space="preserve"> </w:t>
      </w:r>
      <w:r w:rsidRPr="00C83E71">
        <w:rPr>
          <w:rFonts w:cs="Arial"/>
          <w:b/>
          <w:sz w:val="22"/>
          <w:szCs w:val="22"/>
        </w:rPr>
        <w:t>5,1 %</w:t>
      </w:r>
      <w:r>
        <w:rPr>
          <w:rFonts w:cs="Arial"/>
          <w:sz w:val="22"/>
          <w:szCs w:val="22"/>
        </w:rPr>
        <w:t xml:space="preserve"> </w:t>
      </w:r>
      <w:r w:rsidR="002C7DE0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na straně dovozu </w:t>
      </w:r>
      <w:r w:rsidRPr="00C83E71">
        <w:rPr>
          <w:rFonts w:cs="Arial"/>
          <w:b/>
          <w:sz w:val="22"/>
          <w:szCs w:val="22"/>
        </w:rPr>
        <w:t>6,5 %</w:t>
      </w:r>
      <w:r>
        <w:rPr>
          <w:rFonts w:cs="Arial"/>
          <w:sz w:val="22"/>
          <w:szCs w:val="22"/>
        </w:rPr>
        <w:t>, což v prvním případě znamenalo meziročně nepatrný pokles a ve druhém nepatrný nárůst</w:t>
      </w:r>
      <w:r w:rsidR="002C7DE0" w:rsidRPr="00C61EC6">
        <w:rPr>
          <w:rFonts w:cs="Arial"/>
          <w:sz w:val="22"/>
          <w:szCs w:val="22"/>
        </w:rPr>
        <w:t>,</w:t>
      </w:r>
      <w:r w:rsidR="002C7DE0">
        <w:rPr>
          <w:rFonts w:cs="Arial"/>
          <w:sz w:val="22"/>
          <w:szCs w:val="22"/>
        </w:rPr>
        <w:t xml:space="preserve"> viz tab. </w:t>
      </w:r>
      <w:r>
        <w:rPr>
          <w:rFonts w:cs="Arial"/>
          <w:sz w:val="22"/>
          <w:szCs w:val="22"/>
        </w:rPr>
        <w:t>2</w:t>
      </w:r>
      <w:r w:rsidR="002C7DE0">
        <w:rPr>
          <w:rFonts w:cs="Arial"/>
          <w:sz w:val="22"/>
          <w:szCs w:val="22"/>
        </w:rPr>
        <w:t>.</w:t>
      </w:r>
    </w:p>
    <w:p w:rsidR="00B176E3" w:rsidRDefault="00B176E3" w:rsidP="002C7DE0">
      <w:pPr>
        <w:spacing w:line="276" w:lineRule="auto"/>
        <w:rPr>
          <w:rFonts w:cs="Arial"/>
          <w:b/>
          <w:sz w:val="22"/>
          <w:szCs w:val="22"/>
        </w:rPr>
      </w:pPr>
      <w:r w:rsidRPr="00F409A3">
        <w:rPr>
          <w:rFonts w:cs="Arial"/>
          <w:sz w:val="22"/>
          <w:szCs w:val="22"/>
          <w:u w:val="single"/>
        </w:rPr>
        <w:t>V roce 2016 došlo v českém agrárním zahraničním obchodě (AZO) ke</w:t>
      </w:r>
      <w:r w:rsidR="00B9769F" w:rsidRPr="00F409A3">
        <w:rPr>
          <w:rFonts w:cs="Arial"/>
          <w:sz w:val="22"/>
          <w:szCs w:val="22"/>
          <w:u w:val="single"/>
        </w:rPr>
        <w:t xml:space="preserve"> zřetelnému</w:t>
      </w:r>
      <w:r w:rsidRPr="00F409A3">
        <w:rPr>
          <w:rFonts w:cs="Arial"/>
          <w:sz w:val="22"/>
          <w:szCs w:val="22"/>
          <w:u w:val="single"/>
        </w:rPr>
        <w:t xml:space="preserve"> zpomalení tempa růst</w:t>
      </w:r>
      <w:r w:rsidR="00B9769F" w:rsidRPr="00F409A3">
        <w:rPr>
          <w:rFonts w:cs="Arial"/>
          <w:sz w:val="22"/>
          <w:szCs w:val="22"/>
          <w:u w:val="single"/>
        </w:rPr>
        <w:t>u</w:t>
      </w:r>
      <w:r w:rsidRPr="00F409A3">
        <w:rPr>
          <w:rFonts w:cs="Arial"/>
          <w:sz w:val="22"/>
          <w:szCs w:val="22"/>
          <w:u w:val="single"/>
        </w:rPr>
        <w:t xml:space="preserve"> jak vývozu, tak dovozu</w:t>
      </w:r>
      <w:r w:rsidR="004802BF" w:rsidRPr="00F409A3">
        <w:rPr>
          <w:rFonts w:cs="Arial"/>
          <w:sz w:val="22"/>
          <w:szCs w:val="22"/>
          <w:u w:val="single"/>
        </w:rPr>
        <w:t xml:space="preserve"> (s tím, že mírně odlišně </w:t>
      </w:r>
      <w:r w:rsidR="00EE1D31" w:rsidRPr="00F409A3">
        <w:rPr>
          <w:rFonts w:cs="Arial"/>
          <w:sz w:val="22"/>
          <w:szCs w:val="22"/>
          <w:u w:val="single"/>
        </w:rPr>
        <w:t xml:space="preserve">se </w:t>
      </w:r>
      <w:r w:rsidR="004802BF" w:rsidRPr="00F409A3">
        <w:rPr>
          <w:rFonts w:cs="Arial"/>
          <w:sz w:val="22"/>
          <w:szCs w:val="22"/>
          <w:u w:val="single"/>
        </w:rPr>
        <w:t>vyvíjel obchod s EU 28 a s třetími zeměmi</w:t>
      </w:r>
      <w:r w:rsidR="004074BD" w:rsidRPr="00F409A3">
        <w:rPr>
          <w:rFonts w:cs="Arial"/>
          <w:sz w:val="22"/>
          <w:szCs w:val="22"/>
          <w:u w:val="single"/>
        </w:rPr>
        <w:t>)</w:t>
      </w:r>
      <w:r w:rsidR="004802BF" w:rsidRPr="00F409A3">
        <w:rPr>
          <w:rFonts w:cs="Arial"/>
          <w:sz w:val="22"/>
          <w:szCs w:val="22"/>
          <w:u w:val="single"/>
        </w:rPr>
        <w:t>.</w:t>
      </w:r>
      <w:r>
        <w:rPr>
          <w:rFonts w:cs="Arial"/>
          <w:sz w:val="22"/>
          <w:szCs w:val="22"/>
        </w:rPr>
        <w:t xml:space="preserve"> Hodnota českého agrárního exportu meziročně stagnovala </w:t>
      </w:r>
      <w:r w:rsidR="00EE1D31">
        <w:rPr>
          <w:rFonts w:cs="Arial"/>
          <w:sz w:val="22"/>
          <w:szCs w:val="22"/>
        </w:rPr>
        <w:t xml:space="preserve">(přírůstek pouhých 0,3 %, tj. </w:t>
      </w:r>
      <w:r>
        <w:rPr>
          <w:rFonts w:cs="Arial"/>
          <w:sz w:val="22"/>
          <w:szCs w:val="22"/>
        </w:rPr>
        <w:t xml:space="preserve">611,8 mil. Kč) a </w:t>
      </w:r>
      <w:r w:rsidR="008B6E2E">
        <w:rPr>
          <w:rFonts w:cs="Arial"/>
          <w:sz w:val="22"/>
          <w:szCs w:val="22"/>
        </w:rPr>
        <w:t xml:space="preserve">v případě </w:t>
      </w:r>
      <w:r>
        <w:rPr>
          <w:rFonts w:cs="Arial"/>
          <w:sz w:val="22"/>
          <w:szCs w:val="22"/>
        </w:rPr>
        <w:t>dovozu mírně vzrostl</w:t>
      </w:r>
      <w:r w:rsidR="00EE1D3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o 1,8 % </w:t>
      </w:r>
      <w:r w:rsidR="00B9769F">
        <w:rPr>
          <w:rFonts w:cs="Arial"/>
          <w:sz w:val="22"/>
          <w:szCs w:val="22"/>
        </w:rPr>
        <w:t>(o </w:t>
      </w:r>
      <w:r w:rsidR="00EE1D31">
        <w:rPr>
          <w:rFonts w:cs="Arial"/>
          <w:sz w:val="22"/>
          <w:szCs w:val="22"/>
        </w:rPr>
        <w:t>3,9 </w:t>
      </w:r>
      <w:r>
        <w:rPr>
          <w:rFonts w:cs="Arial"/>
          <w:sz w:val="22"/>
          <w:szCs w:val="22"/>
        </w:rPr>
        <w:t>mld. Kč).</w:t>
      </w:r>
      <w:r w:rsidR="008B6E2E">
        <w:rPr>
          <w:rStyle w:val="Znakapoznpodarou"/>
          <w:rFonts w:cs="Arial"/>
          <w:sz w:val="22"/>
          <w:szCs w:val="22"/>
        </w:rPr>
        <w:footnoteReference w:id="2"/>
      </w:r>
      <w:r>
        <w:rPr>
          <w:rFonts w:cs="Arial"/>
          <w:sz w:val="22"/>
          <w:szCs w:val="22"/>
        </w:rPr>
        <w:t xml:space="preserve"> </w:t>
      </w:r>
      <w:r w:rsidRPr="00B9769F">
        <w:rPr>
          <w:rFonts w:cs="Arial"/>
          <w:b/>
          <w:sz w:val="22"/>
          <w:szCs w:val="22"/>
        </w:rPr>
        <w:t>Záporná bilance</w:t>
      </w:r>
      <w:r>
        <w:rPr>
          <w:rFonts w:cs="Arial"/>
          <w:sz w:val="22"/>
          <w:szCs w:val="22"/>
        </w:rPr>
        <w:t xml:space="preserve"> AZO se tak </w:t>
      </w:r>
      <w:r w:rsidRPr="00B9769F">
        <w:rPr>
          <w:rFonts w:cs="Arial"/>
          <w:b/>
          <w:sz w:val="22"/>
          <w:szCs w:val="22"/>
        </w:rPr>
        <w:t>prohloubila</w:t>
      </w:r>
      <w:r>
        <w:rPr>
          <w:rFonts w:cs="Arial"/>
          <w:sz w:val="22"/>
          <w:szCs w:val="22"/>
        </w:rPr>
        <w:t xml:space="preserve"> o 3,3 mld. Kč </w:t>
      </w:r>
      <w:r w:rsidR="00B9769F" w:rsidRPr="00B9769F">
        <w:rPr>
          <w:rFonts w:cs="Arial"/>
          <w:b/>
          <w:sz w:val="22"/>
          <w:szCs w:val="22"/>
        </w:rPr>
        <w:t>na</w:t>
      </w:r>
      <w:r w:rsidR="00B9769F">
        <w:rPr>
          <w:rFonts w:cs="Arial"/>
          <w:sz w:val="22"/>
          <w:szCs w:val="22"/>
        </w:rPr>
        <w:t xml:space="preserve"> </w:t>
      </w:r>
      <w:r w:rsidR="00B9769F" w:rsidRPr="00B9769F">
        <w:rPr>
          <w:rFonts w:cs="Arial"/>
          <w:b/>
          <w:sz w:val="22"/>
          <w:szCs w:val="22"/>
        </w:rPr>
        <w:t>22,6 mld. Kč</w:t>
      </w:r>
      <w:r w:rsidR="00B9769F">
        <w:rPr>
          <w:rFonts w:cs="Arial"/>
          <w:sz w:val="22"/>
          <w:szCs w:val="22"/>
        </w:rPr>
        <w:t xml:space="preserve"> (což je však stále nižší hodnota než </w:t>
      </w:r>
      <w:r w:rsidR="00EE1D31">
        <w:rPr>
          <w:rFonts w:cs="Arial"/>
          <w:sz w:val="22"/>
          <w:szCs w:val="22"/>
        </w:rPr>
        <w:t xml:space="preserve">v </w:t>
      </w:r>
      <w:r w:rsidR="00B9769F">
        <w:rPr>
          <w:rFonts w:cs="Arial"/>
          <w:sz w:val="22"/>
          <w:szCs w:val="22"/>
        </w:rPr>
        <w:t>průměr</w:t>
      </w:r>
      <w:r w:rsidR="00EE1D31">
        <w:rPr>
          <w:rFonts w:cs="Arial"/>
          <w:sz w:val="22"/>
          <w:szCs w:val="22"/>
        </w:rPr>
        <w:t>u</w:t>
      </w:r>
      <w:r w:rsidR="00B9769F">
        <w:rPr>
          <w:rFonts w:cs="Arial"/>
          <w:sz w:val="22"/>
          <w:szCs w:val="22"/>
        </w:rPr>
        <w:t xml:space="preserve"> předchozích pěti let) </w:t>
      </w:r>
      <w:r>
        <w:rPr>
          <w:rFonts w:cs="Arial"/>
          <w:sz w:val="22"/>
          <w:szCs w:val="22"/>
        </w:rPr>
        <w:t>a</w:t>
      </w:r>
      <w:r w:rsidR="00B9769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stupeň krytí</w:t>
      </w:r>
      <w:r w:rsidR="004802BF">
        <w:rPr>
          <w:rFonts w:cs="Arial"/>
          <w:sz w:val="22"/>
          <w:szCs w:val="22"/>
        </w:rPr>
        <w:t xml:space="preserve"> dovozu vývozem se snížil o 1,4 </w:t>
      </w:r>
      <w:r>
        <w:rPr>
          <w:rFonts w:cs="Arial"/>
          <w:sz w:val="22"/>
          <w:szCs w:val="22"/>
        </w:rPr>
        <w:t>p. b. na</w:t>
      </w:r>
      <w:r w:rsidR="00B65F76">
        <w:rPr>
          <w:rFonts w:cs="Arial"/>
          <w:sz w:val="22"/>
          <w:szCs w:val="22"/>
        </w:rPr>
        <w:t xml:space="preserve"> stále ještě nadprůměrných</w:t>
      </w:r>
      <w:r>
        <w:rPr>
          <w:rFonts w:cs="Arial"/>
          <w:sz w:val="22"/>
          <w:szCs w:val="22"/>
        </w:rPr>
        <w:t xml:space="preserve"> </w:t>
      </w:r>
      <w:r w:rsidR="00B9769F" w:rsidRPr="00B9769F">
        <w:rPr>
          <w:rFonts w:cs="Arial"/>
          <w:b/>
          <w:sz w:val="22"/>
          <w:szCs w:val="22"/>
        </w:rPr>
        <w:t>89,9</w:t>
      </w:r>
      <w:r w:rsidRPr="00B9769F">
        <w:rPr>
          <w:rFonts w:cs="Arial"/>
          <w:b/>
          <w:sz w:val="22"/>
          <w:szCs w:val="22"/>
        </w:rPr>
        <w:t xml:space="preserve"> %.</w:t>
      </w:r>
    </w:p>
    <w:p w:rsidR="004802BF" w:rsidRPr="00F409A3" w:rsidRDefault="004802BF" w:rsidP="004802BF">
      <w:pPr>
        <w:spacing w:line="276" w:lineRule="auto"/>
        <w:rPr>
          <w:rFonts w:cs="Arial"/>
          <w:sz w:val="22"/>
          <w:szCs w:val="22"/>
          <w:u w:val="single"/>
        </w:rPr>
      </w:pPr>
      <w:r w:rsidRPr="004802BF">
        <w:rPr>
          <w:rFonts w:cs="Arial"/>
          <w:sz w:val="22"/>
          <w:szCs w:val="22"/>
        </w:rPr>
        <w:t>Zatímco</w:t>
      </w:r>
      <w:r>
        <w:rPr>
          <w:rFonts w:cs="Arial"/>
          <w:sz w:val="22"/>
          <w:szCs w:val="22"/>
        </w:rPr>
        <w:t xml:space="preserve"> záporná bilance agrárního obchodu </w:t>
      </w:r>
      <w:r w:rsidRPr="004802BF">
        <w:rPr>
          <w:rFonts w:cs="Arial"/>
          <w:b/>
          <w:sz w:val="22"/>
          <w:szCs w:val="22"/>
        </w:rPr>
        <w:t>s EU 28</w:t>
      </w:r>
      <w:r w:rsidR="00D212E6">
        <w:rPr>
          <w:rFonts w:cs="Arial"/>
          <w:b/>
          <w:sz w:val="22"/>
          <w:szCs w:val="22"/>
        </w:rPr>
        <w:t xml:space="preserve">, </w:t>
      </w:r>
      <w:r w:rsidR="00D212E6">
        <w:rPr>
          <w:rFonts w:cs="Arial"/>
          <w:sz w:val="22"/>
          <w:szCs w:val="22"/>
        </w:rPr>
        <w:t>který tvoří převážnou část</w:t>
      </w:r>
      <w:r w:rsidR="00D212E6">
        <w:rPr>
          <w:rStyle w:val="Znakapoznpodarou"/>
          <w:rFonts w:cs="Arial"/>
          <w:sz w:val="22"/>
          <w:szCs w:val="22"/>
        </w:rPr>
        <w:footnoteReference w:id="3"/>
      </w:r>
      <w:r>
        <w:rPr>
          <w:rFonts w:cs="Arial"/>
          <w:sz w:val="22"/>
          <w:szCs w:val="22"/>
        </w:rPr>
        <w:t xml:space="preserve"> </w:t>
      </w:r>
      <w:r w:rsidR="00D212E6">
        <w:rPr>
          <w:rFonts w:cs="Arial"/>
          <w:sz w:val="22"/>
          <w:szCs w:val="22"/>
        </w:rPr>
        <w:t xml:space="preserve">celkového českého AZO, </w:t>
      </w:r>
      <w:r>
        <w:rPr>
          <w:rFonts w:cs="Arial"/>
          <w:sz w:val="22"/>
          <w:szCs w:val="22"/>
        </w:rPr>
        <w:t>se v roce 2016 meziročně, po dvou letech zlepšování, zhoršila</w:t>
      </w:r>
      <w:r w:rsidR="00D212E6">
        <w:rPr>
          <w:rFonts w:cs="Arial"/>
          <w:sz w:val="22"/>
          <w:szCs w:val="22"/>
        </w:rPr>
        <w:t xml:space="preserve"> (o </w:t>
      </w:r>
      <w:r>
        <w:rPr>
          <w:rFonts w:cs="Arial"/>
          <w:sz w:val="22"/>
          <w:szCs w:val="22"/>
        </w:rPr>
        <w:t xml:space="preserve">4,1 mld. Kč na 6,8 mld. Kč), bilanční schodek AZO </w:t>
      </w:r>
      <w:r w:rsidRPr="004802BF">
        <w:rPr>
          <w:rFonts w:cs="Arial"/>
          <w:b/>
          <w:sz w:val="22"/>
          <w:szCs w:val="22"/>
        </w:rPr>
        <w:t>s třetími zeměmi</w:t>
      </w:r>
      <w:r>
        <w:rPr>
          <w:rFonts w:cs="Arial"/>
          <w:sz w:val="22"/>
          <w:szCs w:val="22"/>
        </w:rPr>
        <w:t>, se po dvou letech prohlubování, zlepšil (o 1,3 mld. Kč na 14,4 mld. Kč).</w:t>
      </w:r>
      <w:r w:rsidRPr="004802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Vývoj bilance českého AZO </w:t>
      </w:r>
      <w:r w:rsidR="00EE1D31">
        <w:rPr>
          <w:rFonts w:cs="Arial"/>
          <w:sz w:val="22"/>
          <w:szCs w:val="22"/>
        </w:rPr>
        <w:t xml:space="preserve">od roku 2011 </w:t>
      </w:r>
      <w:r>
        <w:rPr>
          <w:rFonts w:cs="Arial"/>
          <w:sz w:val="22"/>
          <w:szCs w:val="22"/>
        </w:rPr>
        <w:t xml:space="preserve">podle čtvrtletí ukazuje graf 1. Z něj je patrné, že </w:t>
      </w:r>
      <w:r w:rsidR="00B65F76">
        <w:rPr>
          <w:rFonts w:cs="Arial"/>
          <w:sz w:val="22"/>
          <w:szCs w:val="22"/>
        </w:rPr>
        <w:t xml:space="preserve">schodek bilance </w:t>
      </w:r>
      <w:r>
        <w:rPr>
          <w:rFonts w:cs="Arial"/>
          <w:sz w:val="22"/>
          <w:szCs w:val="22"/>
        </w:rPr>
        <w:t xml:space="preserve">s původními </w:t>
      </w:r>
      <w:r w:rsidR="00B65F76">
        <w:rPr>
          <w:rFonts w:cs="Arial"/>
          <w:sz w:val="22"/>
          <w:szCs w:val="22"/>
        </w:rPr>
        <w:t>členy</w:t>
      </w:r>
      <w:r>
        <w:rPr>
          <w:rFonts w:cs="Arial"/>
          <w:sz w:val="22"/>
          <w:szCs w:val="22"/>
        </w:rPr>
        <w:t xml:space="preserve"> </w:t>
      </w:r>
      <w:r w:rsidR="00240EAD">
        <w:rPr>
          <w:rFonts w:cs="Arial"/>
          <w:sz w:val="22"/>
          <w:szCs w:val="22"/>
        </w:rPr>
        <w:t xml:space="preserve">EU (EU 15) </w:t>
      </w:r>
      <w:r w:rsidR="00B65F76">
        <w:rPr>
          <w:rFonts w:cs="Arial"/>
          <w:sz w:val="22"/>
          <w:szCs w:val="22"/>
        </w:rPr>
        <w:t>vykázal</w:t>
      </w:r>
      <w:r>
        <w:rPr>
          <w:rFonts w:cs="Arial"/>
          <w:sz w:val="22"/>
          <w:szCs w:val="22"/>
        </w:rPr>
        <w:t xml:space="preserve"> </w:t>
      </w:r>
      <w:r w:rsidR="00B65F76">
        <w:rPr>
          <w:rFonts w:cs="Arial"/>
          <w:sz w:val="22"/>
          <w:szCs w:val="22"/>
        </w:rPr>
        <w:t xml:space="preserve">ve </w:t>
      </w:r>
      <w:r>
        <w:rPr>
          <w:rFonts w:cs="Arial"/>
          <w:sz w:val="22"/>
          <w:szCs w:val="22"/>
        </w:rPr>
        <w:t xml:space="preserve">všech čtvrtletích roku 2016 meziročně </w:t>
      </w:r>
      <w:r w:rsidR="00A730E1">
        <w:rPr>
          <w:rFonts w:cs="Arial"/>
          <w:sz w:val="22"/>
          <w:szCs w:val="22"/>
        </w:rPr>
        <w:t>horší</w:t>
      </w:r>
      <w:r w:rsidR="00B65F76">
        <w:rPr>
          <w:rFonts w:cs="Arial"/>
          <w:sz w:val="22"/>
          <w:szCs w:val="22"/>
        </w:rPr>
        <w:t xml:space="preserve"> hodnoty</w:t>
      </w:r>
      <w:r>
        <w:rPr>
          <w:rFonts w:cs="Arial"/>
          <w:sz w:val="22"/>
          <w:szCs w:val="22"/>
        </w:rPr>
        <w:t xml:space="preserve"> nežli v roce 2015</w:t>
      </w:r>
      <w:r w:rsidR="00D212E6">
        <w:rPr>
          <w:rFonts w:cs="Arial"/>
          <w:sz w:val="22"/>
          <w:szCs w:val="22"/>
        </w:rPr>
        <w:t xml:space="preserve">, </w:t>
      </w:r>
      <w:r w:rsidR="00A730E1">
        <w:rPr>
          <w:rFonts w:cs="Arial"/>
          <w:sz w:val="22"/>
          <w:szCs w:val="22"/>
        </w:rPr>
        <w:t>zatímco aktivní bilance obchodu s novými členy (EU 13)</w:t>
      </w:r>
      <w:r w:rsidR="00A730E1" w:rsidRPr="00A730E1">
        <w:rPr>
          <w:rFonts w:cs="Arial"/>
          <w:sz w:val="22"/>
          <w:szCs w:val="22"/>
        </w:rPr>
        <w:t xml:space="preserve"> </w:t>
      </w:r>
      <w:r w:rsidR="00A730E1">
        <w:rPr>
          <w:rFonts w:cs="Arial"/>
          <w:sz w:val="22"/>
          <w:szCs w:val="22"/>
        </w:rPr>
        <w:t xml:space="preserve">zaznamenala </w:t>
      </w:r>
      <w:r w:rsidR="00B65F76">
        <w:rPr>
          <w:rFonts w:cs="Arial"/>
          <w:sz w:val="22"/>
          <w:szCs w:val="22"/>
        </w:rPr>
        <w:t>nevyrovnaný vývoj</w:t>
      </w:r>
      <w:r w:rsidR="00A730E1">
        <w:rPr>
          <w:rFonts w:cs="Arial"/>
          <w:sz w:val="22"/>
          <w:szCs w:val="22"/>
        </w:rPr>
        <w:t xml:space="preserve">. </w:t>
      </w:r>
      <w:r w:rsidR="00A730E1" w:rsidRPr="00F409A3">
        <w:rPr>
          <w:rFonts w:cs="Arial"/>
          <w:sz w:val="22"/>
          <w:szCs w:val="22"/>
          <w:u w:val="single"/>
        </w:rPr>
        <w:t xml:space="preserve">Bilance AZO s třetími zeměmi byla v roce 2016 příznivější nežli v roce 2015 </w:t>
      </w:r>
      <w:r w:rsidR="00CF05F9" w:rsidRPr="00F409A3">
        <w:rPr>
          <w:rFonts w:cs="Arial"/>
          <w:sz w:val="22"/>
          <w:szCs w:val="22"/>
          <w:u w:val="single"/>
        </w:rPr>
        <w:t>ve všech čtvrtletích a během roku se vyvíjela podobně.</w:t>
      </w:r>
    </w:p>
    <w:p w:rsidR="00277BD7" w:rsidRDefault="00BE53F1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Hlavními</w:t>
      </w:r>
      <w:r w:rsidR="00BD3E86" w:rsidRPr="004837AB">
        <w:rPr>
          <w:rFonts w:cs="Arial"/>
          <w:b/>
          <w:sz w:val="22"/>
          <w:szCs w:val="22"/>
        </w:rPr>
        <w:t xml:space="preserve"> exportovanými </w:t>
      </w:r>
      <w:r w:rsidR="00BD3E86" w:rsidRPr="004837AB">
        <w:rPr>
          <w:rFonts w:cs="Arial"/>
          <w:sz w:val="22"/>
          <w:szCs w:val="22"/>
        </w:rPr>
        <w:t>položkami</w:t>
      </w:r>
      <w:r w:rsidR="00A9539E">
        <w:rPr>
          <w:rStyle w:val="Znakapoznpodarou"/>
          <w:rFonts w:cs="Arial"/>
          <w:sz w:val="22"/>
          <w:szCs w:val="22"/>
        </w:rPr>
        <w:footnoteReference w:id="4"/>
      </w:r>
      <w:r w:rsidR="00BD3E86" w:rsidRPr="004837AB">
        <w:rPr>
          <w:rFonts w:cs="Arial"/>
          <w:sz w:val="22"/>
          <w:szCs w:val="22"/>
        </w:rPr>
        <w:t xml:space="preserve"> </w:t>
      </w:r>
      <w:r w:rsidR="007D34AC" w:rsidRPr="004837AB">
        <w:rPr>
          <w:rFonts w:cs="Arial"/>
          <w:sz w:val="22"/>
          <w:szCs w:val="22"/>
        </w:rPr>
        <w:t xml:space="preserve">z ČR </w:t>
      </w:r>
      <w:r w:rsidR="00BD3E86" w:rsidRPr="004837AB">
        <w:rPr>
          <w:rFonts w:cs="Arial"/>
          <w:sz w:val="22"/>
          <w:szCs w:val="22"/>
        </w:rPr>
        <w:t xml:space="preserve">byly </w:t>
      </w:r>
      <w:r w:rsidR="00F23A3C">
        <w:rPr>
          <w:rFonts w:cs="Arial"/>
          <w:sz w:val="22"/>
          <w:szCs w:val="22"/>
        </w:rPr>
        <w:t>v roce</w:t>
      </w:r>
      <w:r w:rsidR="00BE1521">
        <w:rPr>
          <w:rFonts w:cs="Arial"/>
          <w:sz w:val="22"/>
          <w:szCs w:val="22"/>
        </w:rPr>
        <w:t xml:space="preserve"> </w:t>
      </w:r>
      <w:r w:rsidR="00BD3E86" w:rsidRPr="004837AB">
        <w:rPr>
          <w:rFonts w:cs="Arial"/>
          <w:sz w:val="22"/>
          <w:szCs w:val="22"/>
        </w:rPr>
        <w:t>201</w:t>
      </w:r>
      <w:r w:rsidR="007852CC" w:rsidRPr="004837AB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</w:t>
      </w:r>
      <w:r w:rsidRPr="00BE53F1">
        <w:rPr>
          <w:rFonts w:cs="Arial"/>
          <w:b/>
          <w:sz w:val="22"/>
          <w:szCs w:val="22"/>
        </w:rPr>
        <w:t>cigarety</w:t>
      </w:r>
      <w:r w:rsidR="00A76E0A">
        <w:rPr>
          <w:rFonts w:cs="Arial"/>
          <w:b/>
          <w:sz w:val="22"/>
          <w:szCs w:val="22"/>
        </w:rPr>
        <w:t xml:space="preserve"> </w:t>
      </w:r>
      <w:r w:rsidR="00A76E0A" w:rsidRPr="00A76E0A">
        <w:rPr>
          <w:rFonts w:cs="Arial"/>
          <w:sz w:val="22"/>
          <w:szCs w:val="22"/>
        </w:rPr>
        <w:t>(</w:t>
      </w:r>
      <w:r w:rsidR="00F23A3C">
        <w:rPr>
          <w:rFonts w:cs="Arial"/>
          <w:sz w:val="22"/>
          <w:szCs w:val="22"/>
        </w:rPr>
        <w:t>již s </w:t>
      </w:r>
      <w:r w:rsidR="00444E2A">
        <w:rPr>
          <w:rFonts w:cs="Arial"/>
          <w:sz w:val="22"/>
          <w:szCs w:val="22"/>
        </w:rPr>
        <w:t>10% podílem)</w:t>
      </w:r>
      <w:r w:rsidRPr="00A76E0A">
        <w:rPr>
          <w:rFonts w:cs="Arial"/>
          <w:sz w:val="22"/>
          <w:szCs w:val="22"/>
        </w:rPr>
        <w:t>,</w:t>
      </w:r>
      <w:r w:rsidRPr="00BE53F1">
        <w:rPr>
          <w:rFonts w:cs="Arial"/>
          <w:b/>
          <w:sz w:val="22"/>
          <w:szCs w:val="22"/>
        </w:rPr>
        <w:t xml:space="preserve"> pšenice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>
        <w:rPr>
          <w:rFonts w:cs="Arial"/>
          <w:sz w:val="22"/>
          <w:szCs w:val="22"/>
        </w:rPr>
        <w:t>(6,0 %)</w:t>
      </w:r>
      <w:r w:rsidRPr="008F474F">
        <w:rPr>
          <w:rFonts w:cs="Arial"/>
          <w:sz w:val="22"/>
          <w:szCs w:val="22"/>
        </w:rPr>
        <w:t>,</w:t>
      </w:r>
      <w:r w:rsidRPr="00BE53F1">
        <w:rPr>
          <w:rFonts w:cs="Arial"/>
          <w:b/>
          <w:sz w:val="22"/>
          <w:szCs w:val="22"/>
        </w:rPr>
        <w:t xml:space="preserve"> </w:t>
      </w:r>
      <w:r w:rsidR="00F23A3C" w:rsidRPr="00BE53F1">
        <w:rPr>
          <w:rFonts w:cs="Arial"/>
          <w:b/>
          <w:sz w:val="22"/>
          <w:szCs w:val="22"/>
        </w:rPr>
        <w:t>řepkový olej</w:t>
      </w:r>
      <w:r w:rsidR="00F23A3C" w:rsidRPr="00BE53F1">
        <w:rPr>
          <w:rStyle w:val="Znakapoznpodarou"/>
          <w:rFonts w:cs="Arial"/>
          <w:b/>
          <w:sz w:val="22"/>
          <w:szCs w:val="22"/>
        </w:rPr>
        <w:footnoteReference w:id="5"/>
      </w:r>
      <w:r w:rsidR="00F23A3C">
        <w:rPr>
          <w:rFonts w:cs="Arial"/>
          <w:b/>
          <w:sz w:val="22"/>
          <w:szCs w:val="22"/>
        </w:rPr>
        <w:t xml:space="preserve"> </w:t>
      </w:r>
      <w:r w:rsidR="00F23A3C">
        <w:rPr>
          <w:rFonts w:cs="Arial"/>
          <w:sz w:val="22"/>
          <w:szCs w:val="22"/>
        </w:rPr>
        <w:t>(5,6 %)</w:t>
      </w:r>
      <w:r w:rsidR="00F23A3C" w:rsidRPr="008F474F">
        <w:rPr>
          <w:rFonts w:cs="Arial"/>
          <w:sz w:val="22"/>
          <w:szCs w:val="22"/>
        </w:rPr>
        <w:t>,</w:t>
      </w:r>
      <w:r w:rsidR="00F23A3C" w:rsidRPr="00BE53F1">
        <w:rPr>
          <w:rFonts w:cs="Arial"/>
          <w:b/>
          <w:sz w:val="22"/>
          <w:szCs w:val="22"/>
        </w:rPr>
        <w:t xml:space="preserve"> pekařské zboží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 w:rsidRPr="00F23A3C">
        <w:rPr>
          <w:rFonts w:cs="Arial"/>
          <w:sz w:val="22"/>
          <w:szCs w:val="22"/>
        </w:rPr>
        <w:t>(</w:t>
      </w:r>
      <w:r w:rsidR="00F23A3C">
        <w:rPr>
          <w:rFonts w:cs="Arial"/>
          <w:sz w:val="24"/>
          <w:szCs w:val="22"/>
        </w:rPr>
        <w:t>5,0 %)</w:t>
      </w:r>
      <w:r w:rsidR="00F23A3C" w:rsidRPr="008F474F">
        <w:rPr>
          <w:rFonts w:cs="Arial"/>
          <w:sz w:val="22"/>
          <w:szCs w:val="22"/>
        </w:rPr>
        <w:t>,</w:t>
      </w:r>
      <w:r w:rsidR="00F23A3C" w:rsidRPr="00BE53F1">
        <w:rPr>
          <w:rFonts w:cs="Arial"/>
          <w:b/>
          <w:sz w:val="22"/>
          <w:szCs w:val="22"/>
        </w:rPr>
        <w:t xml:space="preserve"> přípravky používané k výživě zvířat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(4,7 %)</w:t>
      </w:r>
      <w:r w:rsidR="00F23A3C" w:rsidRPr="008F474F">
        <w:rPr>
          <w:rFonts w:cs="Arial"/>
          <w:sz w:val="22"/>
          <w:szCs w:val="22"/>
        </w:rPr>
        <w:t>,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 w:rsidRPr="00BE53F1">
        <w:rPr>
          <w:rFonts w:cs="Arial"/>
          <w:b/>
          <w:sz w:val="22"/>
          <w:szCs w:val="22"/>
        </w:rPr>
        <w:t>čokoláda a ostatní kakaové přípravky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(4,4 %)</w:t>
      </w:r>
      <w:r w:rsidR="00F23A3C" w:rsidRPr="008F474F">
        <w:rPr>
          <w:rFonts w:cs="Arial"/>
          <w:sz w:val="22"/>
          <w:szCs w:val="22"/>
        </w:rPr>
        <w:t>,</w:t>
      </w:r>
      <w:r w:rsidR="00F23A3C" w:rsidRPr="00BE53F1">
        <w:rPr>
          <w:rFonts w:cs="Arial"/>
          <w:b/>
          <w:sz w:val="22"/>
          <w:szCs w:val="22"/>
        </w:rPr>
        <w:t xml:space="preserve"> potravinové přípravky</w:t>
      </w:r>
      <w:r w:rsidR="00F23A3C" w:rsidRPr="00BE53F1">
        <w:rPr>
          <w:rStyle w:val="Znakapoznpodarou"/>
          <w:rFonts w:cs="Arial"/>
          <w:b/>
          <w:sz w:val="22"/>
          <w:szCs w:val="22"/>
        </w:rPr>
        <w:footnoteReference w:id="6"/>
      </w:r>
      <w:r w:rsidR="00F23A3C">
        <w:rPr>
          <w:rFonts w:cs="Arial"/>
          <w:b/>
          <w:sz w:val="22"/>
          <w:szCs w:val="22"/>
        </w:rPr>
        <w:t>, káva, nezahuštěné mléko a </w:t>
      </w:r>
      <w:r w:rsidR="00F23A3C" w:rsidRPr="00BE53F1">
        <w:rPr>
          <w:rFonts w:cs="Arial"/>
          <w:b/>
          <w:sz w:val="22"/>
          <w:szCs w:val="22"/>
        </w:rPr>
        <w:t>smetana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 w:rsidRPr="008F474F">
        <w:rPr>
          <w:rFonts w:cs="Arial"/>
          <w:sz w:val="22"/>
          <w:szCs w:val="22"/>
        </w:rPr>
        <w:t>(surové mléko</w:t>
      </w:r>
      <w:r w:rsidR="00F23A3C" w:rsidRPr="008F474F">
        <w:rPr>
          <w:rStyle w:val="Znakapoznpodarou"/>
          <w:rFonts w:cs="Arial"/>
          <w:b/>
          <w:sz w:val="22"/>
          <w:szCs w:val="22"/>
        </w:rPr>
        <w:footnoteReference w:id="7"/>
      </w:r>
      <w:r w:rsidR="00F23A3C" w:rsidRPr="008F474F">
        <w:rPr>
          <w:rFonts w:cs="Arial"/>
          <w:sz w:val="22"/>
          <w:szCs w:val="22"/>
        </w:rPr>
        <w:t xml:space="preserve"> z</w:t>
      </w:r>
      <w:r w:rsidR="00F23A3C">
        <w:rPr>
          <w:rFonts w:cs="Arial"/>
          <w:sz w:val="22"/>
          <w:szCs w:val="22"/>
        </w:rPr>
        <w:t xml:space="preserve"> toho tvořilo více než dvě třetiny), </w:t>
      </w:r>
      <w:r w:rsidR="00F23A3C" w:rsidRPr="00BE53F1">
        <w:rPr>
          <w:rFonts w:cs="Arial"/>
          <w:b/>
          <w:sz w:val="22"/>
          <w:szCs w:val="22"/>
        </w:rPr>
        <w:t xml:space="preserve">pivo, živý skot, </w:t>
      </w:r>
      <w:r w:rsidR="00F23A3C">
        <w:rPr>
          <w:rFonts w:cs="Arial"/>
          <w:b/>
          <w:sz w:val="22"/>
          <w:szCs w:val="22"/>
        </w:rPr>
        <w:t xml:space="preserve">limonády, </w:t>
      </w:r>
      <w:r w:rsidR="00F23A3C" w:rsidRPr="00BE53F1">
        <w:rPr>
          <w:rFonts w:cs="Arial"/>
          <w:b/>
          <w:sz w:val="22"/>
          <w:szCs w:val="22"/>
        </w:rPr>
        <w:t xml:space="preserve">cukrovinky </w:t>
      </w:r>
      <w:r w:rsidR="00F23A3C" w:rsidRPr="00830E97">
        <w:rPr>
          <w:rFonts w:cs="Arial"/>
          <w:sz w:val="22"/>
          <w:szCs w:val="22"/>
        </w:rPr>
        <w:t>(bez kakaa)</w:t>
      </w:r>
      <w:r w:rsidR="00F23A3C" w:rsidRPr="00BE53F1">
        <w:rPr>
          <w:rFonts w:cs="Arial"/>
          <w:b/>
          <w:sz w:val="22"/>
          <w:szCs w:val="22"/>
        </w:rPr>
        <w:t xml:space="preserve">, </w:t>
      </w:r>
      <w:r w:rsidR="00EF575C">
        <w:rPr>
          <w:rFonts w:cs="Arial"/>
          <w:b/>
          <w:sz w:val="22"/>
          <w:szCs w:val="22"/>
        </w:rPr>
        <w:t>sýry a </w:t>
      </w:r>
      <w:r w:rsidR="00F23A3C" w:rsidRPr="00BE53F1">
        <w:rPr>
          <w:rFonts w:cs="Arial"/>
          <w:b/>
          <w:sz w:val="22"/>
          <w:szCs w:val="22"/>
        </w:rPr>
        <w:t xml:space="preserve">tvaroh, </w:t>
      </w:r>
      <w:r w:rsidR="00F23A3C">
        <w:rPr>
          <w:rFonts w:cs="Arial"/>
          <w:b/>
          <w:sz w:val="22"/>
          <w:szCs w:val="22"/>
        </w:rPr>
        <w:t xml:space="preserve">cukr, semena řepky, </w:t>
      </w:r>
      <w:r w:rsidR="00F23A3C" w:rsidRPr="00BE53F1">
        <w:rPr>
          <w:rFonts w:cs="Arial"/>
          <w:b/>
          <w:sz w:val="22"/>
          <w:szCs w:val="22"/>
        </w:rPr>
        <w:t>slad,</w:t>
      </w:r>
      <w:r w:rsidR="00F23A3C">
        <w:rPr>
          <w:rFonts w:cs="Arial"/>
          <w:b/>
          <w:sz w:val="22"/>
          <w:szCs w:val="22"/>
        </w:rPr>
        <w:t xml:space="preserve"> </w:t>
      </w:r>
      <w:r w:rsidR="00A9539E">
        <w:rPr>
          <w:rFonts w:cs="Arial"/>
          <w:b/>
          <w:sz w:val="22"/>
          <w:szCs w:val="22"/>
        </w:rPr>
        <w:t>masné přípravky a </w:t>
      </w:r>
      <w:r w:rsidRPr="00BE53F1">
        <w:rPr>
          <w:rFonts w:cs="Arial"/>
          <w:b/>
          <w:sz w:val="22"/>
          <w:szCs w:val="22"/>
        </w:rPr>
        <w:t xml:space="preserve">konzervy, </w:t>
      </w:r>
      <w:r w:rsidR="00F23A3C" w:rsidRPr="00BE53F1">
        <w:rPr>
          <w:rFonts w:cs="Arial"/>
          <w:b/>
          <w:sz w:val="22"/>
          <w:szCs w:val="22"/>
        </w:rPr>
        <w:t>výtažky</w:t>
      </w:r>
      <w:r w:rsidR="00F23A3C">
        <w:rPr>
          <w:rFonts w:cs="Arial"/>
          <w:b/>
          <w:sz w:val="22"/>
          <w:szCs w:val="22"/>
        </w:rPr>
        <w:t xml:space="preserve"> a </w:t>
      </w:r>
      <w:r w:rsidR="00F23A3C" w:rsidRPr="00BE53F1">
        <w:rPr>
          <w:rFonts w:cs="Arial"/>
          <w:b/>
          <w:sz w:val="22"/>
          <w:szCs w:val="22"/>
        </w:rPr>
        <w:t xml:space="preserve">koncentráty z kávy </w:t>
      </w:r>
      <w:r w:rsidR="00F23A3C">
        <w:rPr>
          <w:rFonts w:cs="Arial"/>
          <w:sz w:val="22"/>
          <w:szCs w:val="22"/>
        </w:rPr>
        <w:t>(vč. </w:t>
      </w:r>
      <w:r w:rsidR="00F23A3C" w:rsidRPr="00830E97">
        <w:rPr>
          <w:rFonts w:cs="Arial"/>
          <w:sz w:val="22"/>
          <w:szCs w:val="22"/>
        </w:rPr>
        <w:t>přípravků na jejich bázi)</w:t>
      </w:r>
      <w:r w:rsidR="00F23A3C" w:rsidRPr="00BE53F1">
        <w:rPr>
          <w:rFonts w:cs="Arial"/>
          <w:b/>
          <w:sz w:val="22"/>
          <w:szCs w:val="22"/>
        </w:rPr>
        <w:t xml:space="preserve">, </w:t>
      </w:r>
      <w:r w:rsidR="00F23A3C">
        <w:rPr>
          <w:rFonts w:cs="Arial"/>
          <w:b/>
          <w:sz w:val="22"/>
          <w:szCs w:val="22"/>
        </w:rPr>
        <w:t xml:space="preserve">uzenky a salámy, </w:t>
      </w:r>
      <w:r w:rsidR="00F23A3C" w:rsidRPr="00BE53F1">
        <w:rPr>
          <w:rFonts w:cs="Arial"/>
          <w:b/>
          <w:sz w:val="22"/>
          <w:szCs w:val="22"/>
        </w:rPr>
        <w:t xml:space="preserve">řepkové pokrutiny, </w:t>
      </w:r>
      <w:r w:rsidR="00F23A3C">
        <w:rPr>
          <w:rFonts w:cs="Arial"/>
          <w:b/>
          <w:sz w:val="22"/>
          <w:szCs w:val="22"/>
        </w:rPr>
        <w:t>živá drůbež,</w:t>
      </w:r>
      <w:r w:rsidR="00F23A3C">
        <w:rPr>
          <w:rFonts w:cs="Arial"/>
          <w:sz w:val="22"/>
          <w:szCs w:val="22"/>
        </w:rPr>
        <w:t> </w:t>
      </w:r>
      <w:r w:rsidR="00F23A3C">
        <w:rPr>
          <w:rFonts w:cs="Arial"/>
          <w:b/>
          <w:sz w:val="22"/>
          <w:szCs w:val="22"/>
        </w:rPr>
        <w:t>zahuštěné mléko a </w:t>
      </w:r>
      <w:r w:rsidR="00F23A3C" w:rsidRPr="00BE53F1">
        <w:rPr>
          <w:rFonts w:cs="Arial"/>
          <w:b/>
          <w:sz w:val="22"/>
          <w:szCs w:val="22"/>
        </w:rPr>
        <w:t>smetana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 w:rsidRPr="00F23A3C">
        <w:rPr>
          <w:rFonts w:cs="Arial"/>
          <w:sz w:val="22"/>
          <w:szCs w:val="22"/>
        </w:rPr>
        <w:t>a</w:t>
      </w:r>
      <w:r w:rsidR="006F04A5">
        <w:rPr>
          <w:rFonts w:cs="Arial"/>
          <w:b/>
          <w:sz w:val="22"/>
          <w:szCs w:val="22"/>
        </w:rPr>
        <w:t xml:space="preserve"> ječmen</w:t>
      </w:r>
      <w:r w:rsidR="006F04A5" w:rsidRPr="00BF6D19">
        <w:rPr>
          <w:rFonts w:cs="Arial"/>
          <w:b/>
          <w:sz w:val="22"/>
          <w:szCs w:val="22"/>
        </w:rPr>
        <w:t>.</w:t>
      </w:r>
      <w:r w:rsidR="006F04A5">
        <w:rPr>
          <w:rFonts w:cs="Arial"/>
          <w:sz w:val="22"/>
          <w:szCs w:val="22"/>
        </w:rPr>
        <w:t xml:space="preserve"> Další komodity zaujíma</w:t>
      </w:r>
      <w:r w:rsidR="008F474F">
        <w:rPr>
          <w:rFonts w:cs="Arial"/>
          <w:sz w:val="22"/>
          <w:szCs w:val="22"/>
        </w:rPr>
        <w:t>ly</w:t>
      </w:r>
      <w:r w:rsidR="006F04A5">
        <w:rPr>
          <w:rFonts w:cs="Arial"/>
          <w:sz w:val="22"/>
          <w:szCs w:val="22"/>
        </w:rPr>
        <w:t xml:space="preserve"> </w:t>
      </w:r>
      <w:r w:rsidR="00F54327">
        <w:rPr>
          <w:rFonts w:cs="Arial"/>
          <w:sz w:val="22"/>
          <w:szCs w:val="22"/>
        </w:rPr>
        <w:t xml:space="preserve">v českém agrárním vývozu </w:t>
      </w:r>
      <w:r w:rsidR="006F04A5">
        <w:rPr>
          <w:rFonts w:cs="Arial"/>
          <w:sz w:val="22"/>
          <w:szCs w:val="22"/>
        </w:rPr>
        <w:t>již méně než 1% podíl.</w:t>
      </w:r>
    </w:p>
    <w:p w:rsidR="00F23A3C" w:rsidRDefault="00277BD7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</w:p>
    <w:p w:rsidR="00FA130E" w:rsidRDefault="00BE53F1" w:rsidP="00F9143B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Nejvíce </w:t>
      </w:r>
      <w:r>
        <w:rPr>
          <w:rFonts w:cs="Arial"/>
          <w:b/>
          <w:sz w:val="22"/>
          <w:szCs w:val="22"/>
        </w:rPr>
        <w:t>i</w:t>
      </w:r>
      <w:r w:rsidR="00C25F03" w:rsidRPr="004837AB">
        <w:rPr>
          <w:rFonts w:cs="Arial"/>
          <w:b/>
          <w:sz w:val="22"/>
          <w:szCs w:val="22"/>
        </w:rPr>
        <w:t>mportovan</w:t>
      </w:r>
      <w:r>
        <w:rPr>
          <w:rFonts w:cs="Arial"/>
          <w:b/>
          <w:sz w:val="22"/>
          <w:szCs w:val="22"/>
        </w:rPr>
        <w:t>ým</w:t>
      </w:r>
      <w:r w:rsidR="00C25F03" w:rsidRPr="004837AB">
        <w:rPr>
          <w:rFonts w:cs="Arial"/>
          <w:b/>
          <w:sz w:val="22"/>
          <w:szCs w:val="22"/>
        </w:rPr>
        <w:t xml:space="preserve"> </w:t>
      </w:r>
      <w:r w:rsidR="00C25F03" w:rsidRPr="004837AB">
        <w:rPr>
          <w:rFonts w:cs="Arial"/>
          <w:sz w:val="22"/>
          <w:szCs w:val="22"/>
        </w:rPr>
        <w:t>zboží</w:t>
      </w:r>
      <w:r>
        <w:rPr>
          <w:rFonts w:cs="Arial"/>
          <w:sz w:val="22"/>
          <w:szCs w:val="22"/>
        </w:rPr>
        <w:t>m</w:t>
      </w:r>
      <w:r w:rsidR="00C25F03" w:rsidRPr="004837AB">
        <w:rPr>
          <w:rFonts w:cs="Arial"/>
          <w:sz w:val="22"/>
          <w:szCs w:val="22"/>
        </w:rPr>
        <w:t xml:space="preserve"> </w:t>
      </w:r>
      <w:r w:rsidR="007D34AC" w:rsidRPr="004837AB">
        <w:rPr>
          <w:rFonts w:cs="Arial"/>
          <w:sz w:val="22"/>
          <w:szCs w:val="22"/>
        </w:rPr>
        <w:t xml:space="preserve">do ČR </w:t>
      </w:r>
      <w:r>
        <w:rPr>
          <w:rFonts w:cs="Arial"/>
          <w:sz w:val="22"/>
          <w:szCs w:val="22"/>
        </w:rPr>
        <w:t xml:space="preserve">byly </w:t>
      </w:r>
      <w:r w:rsidR="00BF6D19">
        <w:rPr>
          <w:rFonts w:cs="Arial"/>
          <w:sz w:val="22"/>
          <w:szCs w:val="22"/>
        </w:rPr>
        <w:t>v roce</w:t>
      </w:r>
      <w:r>
        <w:rPr>
          <w:rFonts w:cs="Arial"/>
          <w:sz w:val="22"/>
          <w:szCs w:val="22"/>
        </w:rPr>
        <w:t xml:space="preserve"> 2016</w:t>
      </w:r>
      <w:r w:rsidR="00F7279D">
        <w:rPr>
          <w:rFonts w:cs="Arial"/>
          <w:sz w:val="22"/>
          <w:szCs w:val="22"/>
        </w:rPr>
        <w:t xml:space="preserve"> </w:t>
      </w:r>
      <w:r w:rsidR="00F7279D" w:rsidRPr="00F7279D">
        <w:rPr>
          <w:rFonts w:cs="Arial"/>
          <w:b/>
          <w:sz w:val="22"/>
          <w:szCs w:val="22"/>
        </w:rPr>
        <w:t>vepřové maso</w:t>
      </w:r>
      <w:r w:rsidR="00277BD7">
        <w:rPr>
          <w:rFonts w:cs="Arial"/>
          <w:b/>
          <w:sz w:val="22"/>
          <w:szCs w:val="22"/>
        </w:rPr>
        <w:t xml:space="preserve"> </w:t>
      </w:r>
      <w:r w:rsidR="00277BD7">
        <w:rPr>
          <w:rFonts w:cs="Arial"/>
          <w:sz w:val="22"/>
          <w:szCs w:val="22"/>
        </w:rPr>
        <w:t>(6,5 %)</w:t>
      </w:r>
      <w:r w:rsidR="00F7279D" w:rsidRPr="008F474F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čokoláda a ostatní kakaové přípravky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 w:rsidRPr="00BF6D19">
        <w:rPr>
          <w:rFonts w:cs="Arial"/>
          <w:sz w:val="22"/>
          <w:szCs w:val="22"/>
        </w:rPr>
        <w:t>(4,8 %)</w:t>
      </w:r>
      <w:r w:rsidR="00F7279D" w:rsidRPr="008F474F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</w:t>
      </w:r>
      <w:r w:rsidR="00A9539E">
        <w:rPr>
          <w:rFonts w:cs="Arial"/>
          <w:b/>
          <w:sz w:val="22"/>
          <w:szCs w:val="22"/>
        </w:rPr>
        <w:t>káva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(4,0 %)</w:t>
      </w:r>
      <w:r w:rsidR="00A9539E" w:rsidRPr="008F474F">
        <w:rPr>
          <w:rFonts w:cs="Arial"/>
          <w:sz w:val="22"/>
          <w:szCs w:val="22"/>
        </w:rPr>
        <w:t>,</w:t>
      </w:r>
      <w:r w:rsidR="00A9539E">
        <w:rPr>
          <w:rFonts w:cs="Arial"/>
          <w:b/>
          <w:sz w:val="22"/>
          <w:szCs w:val="22"/>
        </w:rPr>
        <w:t xml:space="preserve"> </w:t>
      </w:r>
      <w:r w:rsidR="00F7279D">
        <w:rPr>
          <w:rFonts w:cs="Arial"/>
          <w:b/>
          <w:sz w:val="22"/>
          <w:szCs w:val="22"/>
        </w:rPr>
        <w:t>pekařské zboží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(4,0 %)</w:t>
      </w:r>
      <w:r w:rsidR="00F7279D" w:rsidRPr="008F474F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b/>
          <w:sz w:val="22"/>
          <w:szCs w:val="22"/>
        </w:rPr>
        <w:t xml:space="preserve">sýry a tvaroh, </w:t>
      </w:r>
      <w:r w:rsidR="00F7279D">
        <w:rPr>
          <w:rFonts w:cs="Arial"/>
          <w:b/>
          <w:sz w:val="22"/>
          <w:szCs w:val="22"/>
        </w:rPr>
        <w:t xml:space="preserve">cigarety, potravinové přípravky, přípravky používané k výživě zvířat, </w:t>
      </w:r>
      <w:r w:rsidR="00BF6D19">
        <w:rPr>
          <w:rFonts w:cs="Arial"/>
          <w:b/>
          <w:sz w:val="22"/>
          <w:szCs w:val="22"/>
        </w:rPr>
        <w:t xml:space="preserve">maso a droby drůbeže, </w:t>
      </w:r>
      <w:r w:rsidR="00F7279D">
        <w:rPr>
          <w:rFonts w:cs="Arial"/>
          <w:b/>
          <w:sz w:val="22"/>
          <w:szCs w:val="22"/>
        </w:rPr>
        <w:t xml:space="preserve">řepkový olej, </w:t>
      </w:r>
      <w:r w:rsidR="00BF6D19">
        <w:rPr>
          <w:rFonts w:cs="Arial"/>
          <w:b/>
          <w:sz w:val="22"/>
          <w:szCs w:val="22"/>
        </w:rPr>
        <w:t xml:space="preserve">víno, limonády, lihoviny, </w:t>
      </w:r>
      <w:r w:rsidR="00A9539E">
        <w:rPr>
          <w:rFonts w:cs="Arial"/>
          <w:b/>
          <w:sz w:val="22"/>
          <w:szCs w:val="22"/>
        </w:rPr>
        <w:t>banány, hovězí maso, s</w:t>
      </w:r>
      <w:r w:rsidR="00F7279D">
        <w:rPr>
          <w:rFonts w:cs="Arial"/>
          <w:b/>
          <w:sz w:val="22"/>
          <w:szCs w:val="22"/>
        </w:rPr>
        <w:t xml:space="preserve">ójové pokrutiny, </w:t>
      </w:r>
      <w:r w:rsidR="00A9539E">
        <w:rPr>
          <w:rFonts w:cs="Arial"/>
          <w:b/>
          <w:sz w:val="22"/>
          <w:szCs w:val="22"/>
        </w:rPr>
        <w:t>citrusové plody, v</w:t>
      </w:r>
      <w:r w:rsidR="00BF6D19">
        <w:rPr>
          <w:rFonts w:cs="Arial"/>
          <w:b/>
          <w:sz w:val="22"/>
          <w:szCs w:val="22"/>
        </w:rPr>
        <w:t>ýtažky a </w:t>
      </w:r>
      <w:r w:rsidR="00F7279D" w:rsidRPr="00BE53F1">
        <w:rPr>
          <w:rFonts w:cs="Arial"/>
          <w:b/>
          <w:sz w:val="22"/>
          <w:szCs w:val="22"/>
        </w:rPr>
        <w:t xml:space="preserve">koncentráty z kávy </w:t>
      </w:r>
      <w:r w:rsidR="00F7279D" w:rsidRPr="00830E97">
        <w:rPr>
          <w:rFonts w:cs="Arial"/>
          <w:sz w:val="22"/>
          <w:szCs w:val="22"/>
        </w:rPr>
        <w:t>(vč. přípravků na jejich bázi)</w:t>
      </w:r>
      <w:r w:rsidR="00F7279D" w:rsidRPr="00BE53F1">
        <w:rPr>
          <w:rFonts w:cs="Arial"/>
          <w:b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</w:t>
      </w:r>
      <w:r w:rsidR="00C53CC7">
        <w:rPr>
          <w:rFonts w:cs="Arial"/>
          <w:b/>
          <w:sz w:val="22"/>
          <w:szCs w:val="22"/>
        </w:rPr>
        <w:t xml:space="preserve">přípravky z mouky, krupice, škrobu nebo mléka, </w:t>
      </w:r>
      <w:r w:rsidR="00A9539E">
        <w:rPr>
          <w:rFonts w:cs="Arial"/>
          <w:b/>
          <w:sz w:val="22"/>
          <w:szCs w:val="22"/>
        </w:rPr>
        <w:t xml:space="preserve">rajčata, </w:t>
      </w:r>
      <w:r w:rsidR="00BF6D19">
        <w:rPr>
          <w:rFonts w:cs="Arial"/>
          <w:b/>
          <w:sz w:val="22"/>
          <w:szCs w:val="22"/>
        </w:rPr>
        <w:t xml:space="preserve">konzervované ovoce a ořechy, </w:t>
      </w:r>
      <w:r w:rsidR="00A9539E">
        <w:rPr>
          <w:rFonts w:cs="Arial"/>
          <w:b/>
          <w:sz w:val="22"/>
          <w:szCs w:val="22"/>
        </w:rPr>
        <w:t xml:space="preserve">cukrovinky </w:t>
      </w:r>
      <w:r w:rsidR="00A9539E" w:rsidRPr="00A9539E">
        <w:rPr>
          <w:rFonts w:cs="Arial"/>
          <w:sz w:val="22"/>
          <w:szCs w:val="22"/>
        </w:rPr>
        <w:t>(bez kakaa)</w:t>
      </w:r>
      <w:r w:rsidR="00A8570E">
        <w:rPr>
          <w:rFonts w:cs="Arial"/>
          <w:sz w:val="22"/>
          <w:szCs w:val="22"/>
        </w:rPr>
        <w:t xml:space="preserve">, </w:t>
      </w:r>
      <w:r w:rsidR="00A8570E">
        <w:rPr>
          <w:rFonts w:cs="Arial"/>
          <w:b/>
          <w:sz w:val="22"/>
          <w:szCs w:val="22"/>
        </w:rPr>
        <w:t xml:space="preserve">ryby </w:t>
      </w:r>
      <w:r w:rsidR="00A8570E" w:rsidRPr="00830E97">
        <w:rPr>
          <w:rFonts w:cs="Arial"/>
          <w:sz w:val="22"/>
          <w:szCs w:val="22"/>
        </w:rPr>
        <w:t>(čerstvé, chlazené nebo zmrazené)</w:t>
      </w:r>
      <w:r w:rsidR="00BF6D19">
        <w:rPr>
          <w:rFonts w:cs="Arial"/>
          <w:sz w:val="22"/>
          <w:szCs w:val="22"/>
        </w:rPr>
        <w:t xml:space="preserve"> a</w:t>
      </w:r>
      <w:r w:rsidR="00A9539E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b/>
          <w:sz w:val="22"/>
          <w:szCs w:val="22"/>
        </w:rPr>
        <w:t>omáčky, ochucovadla a hořčice</w:t>
      </w:r>
      <w:r w:rsidR="00A9539E">
        <w:rPr>
          <w:rFonts w:cs="Arial"/>
          <w:b/>
          <w:sz w:val="22"/>
          <w:szCs w:val="22"/>
        </w:rPr>
        <w:t xml:space="preserve">.  </w:t>
      </w:r>
    </w:p>
    <w:p w:rsidR="00C976E2" w:rsidRDefault="00C976E2" w:rsidP="00C976E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</w:t>
      </w:r>
      <w:r>
        <w:rPr>
          <w:rFonts w:cs="Arial"/>
          <w:b/>
          <w:bCs/>
          <w:sz w:val="22"/>
          <w:szCs w:val="22"/>
        </w:rPr>
        <w:t>komoditním pohledu</w:t>
      </w:r>
      <w:r>
        <w:rPr>
          <w:rFonts w:cs="Arial"/>
          <w:sz w:val="22"/>
          <w:szCs w:val="22"/>
        </w:rPr>
        <w:t xml:space="preserve"> se meziročně v roce 2016 snížila především hodnota netto-vývozu řepkových semen (o 2,5 mld. Kč) a nezahuštěného mléka a smetany (o 1,3 mld. Kč), a to v obou případech hlavně do Německa. Vývoz mléka byl v roce 2016 poznamenán meziročně výrazně nižšími cenami, nicméně ve 4. čtvrtletí cena mléka, a prakticky všech hlavních vývozních mlékárenských výrobků s výjimkou kysaných, již rostla. Dále stojí za povšimnutí nárůst hodnoty pasivní bilance obecně u ovoce a masa (třebaže např. u drůbežího se její hodnota snížila). Naproti tomu ke zlepšení bilance došlo v obchodě s pekařským zbožím (změna dlouhodobě pasivní bilance na aktivní vlivem vyššího vývozu sušenek), cigaretami (nárůst aktiva o 1,3 mld. Kč) a dále s přípravky používanými k výživě zvířat (nárůst aktiva zejména v důsledku vyššího exportu výživy pro psy a kočky) a tabákem (pokles pasiva).</w:t>
      </w:r>
    </w:p>
    <w:p w:rsidR="00C976E2" w:rsidRDefault="00C976E2" w:rsidP="00C976E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Agrární zboží </w:t>
      </w:r>
      <w:r>
        <w:rPr>
          <w:rFonts w:cs="Arial"/>
          <w:b/>
          <w:sz w:val="22"/>
          <w:szCs w:val="22"/>
        </w:rPr>
        <w:t>exportovala</w:t>
      </w:r>
      <w:r>
        <w:rPr>
          <w:rFonts w:cs="Arial"/>
          <w:sz w:val="22"/>
          <w:szCs w:val="22"/>
        </w:rPr>
        <w:t xml:space="preserve"> ČR v roce 2016, stejně jako v předchozích letech, především na </w:t>
      </w:r>
      <w:r>
        <w:rPr>
          <w:rFonts w:cs="Arial"/>
          <w:b/>
          <w:sz w:val="22"/>
          <w:szCs w:val="22"/>
        </w:rPr>
        <w:t>Slovensko</w:t>
      </w:r>
      <w:r>
        <w:rPr>
          <w:rFonts w:cs="Arial"/>
          <w:sz w:val="22"/>
          <w:szCs w:val="22"/>
        </w:rPr>
        <w:t xml:space="preserve"> (22,6 %), do </w:t>
      </w:r>
      <w:r>
        <w:rPr>
          <w:rFonts w:cs="Arial"/>
          <w:b/>
          <w:sz w:val="22"/>
          <w:szCs w:val="22"/>
        </w:rPr>
        <w:t>Německa</w:t>
      </w:r>
      <w:r>
        <w:rPr>
          <w:rFonts w:cs="Arial"/>
          <w:sz w:val="22"/>
          <w:szCs w:val="22"/>
        </w:rPr>
        <w:t xml:space="preserve"> (18,3 %) a </w:t>
      </w:r>
      <w:r>
        <w:rPr>
          <w:rFonts w:cs="Arial"/>
          <w:b/>
          <w:sz w:val="22"/>
          <w:szCs w:val="22"/>
        </w:rPr>
        <w:t>Polska</w:t>
      </w:r>
      <w:r>
        <w:rPr>
          <w:rFonts w:cs="Arial"/>
          <w:sz w:val="22"/>
          <w:szCs w:val="22"/>
        </w:rPr>
        <w:t xml:space="preserve"> (12,0 %), dále do </w:t>
      </w:r>
      <w:r>
        <w:rPr>
          <w:rFonts w:cs="Arial"/>
          <w:b/>
          <w:sz w:val="22"/>
          <w:szCs w:val="22"/>
        </w:rPr>
        <w:t>Itálie</w:t>
      </w:r>
      <w:r>
        <w:rPr>
          <w:rFonts w:cs="Arial"/>
          <w:sz w:val="22"/>
          <w:szCs w:val="22"/>
        </w:rPr>
        <w:t xml:space="preserve"> (8,7 %), </w:t>
      </w:r>
      <w:r>
        <w:rPr>
          <w:rFonts w:cs="Arial"/>
          <w:b/>
          <w:sz w:val="22"/>
          <w:szCs w:val="22"/>
        </w:rPr>
        <w:t>Rakouska</w:t>
      </w:r>
      <w:r>
        <w:rPr>
          <w:rFonts w:cs="Arial"/>
          <w:sz w:val="22"/>
          <w:szCs w:val="22"/>
        </w:rPr>
        <w:t xml:space="preserve"> (5,8 %) a </w:t>
      </w:r>
      <w:r>
        <w:rPr>
          <w:rFonts w:cs="Arial"/>
          <w:b/>
          <w:sz w:val="22"/>
          <w:szCs w:val="22"/>
        </w:rPr>
        <w:t>Maďarska</w:t>
      </w:r>
      <w:r>
        <w:rPr>
          <w:rFonts w:cs="Arial"/>
          <w:sz w:val="22"/>
          <w:szCs w:val="22"/>
        </w:rPr>
        <w:t xml:space="preserve"> (4,8 %). V rámci třetích zemí zůstaly hlavními destinacemi Rusko (1,3 %), Turecko (0,7 %), Irák (0,6 %) a Švýcarsko (0,6 %), přičemž jejich podíl na hodnotě vývozu se s výjimkou Iráku meziročně nepatrně navýšil.</w:t>
      </w:r>
    </w:p>
    <w:p w:rsidR="006C59DA" w:rsidRDefault="00C266E2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Agrární </w:t>
      </w:r>
      <w:r w:rsidR="001B5DB6" w:rsidRPr="00727A78">
        <w:rPr>
          <w:rFonts w:cs="Arial"/>
          <w:b/>
          <w:sz w:val="22"/>
          <w:szCs w:val="22"/>
        </w:rPr>
        <w:t>import</w:t>
      </w:r>
      <w:r>
        <w:rPr>
          <w:rFonts w:cs="Arial"/>
          <w:sz w:val="22"/>
          <w:szCs w:val="22"/>
        </w:rPr>
        <w:t xml:space="preserve"> do ČR</w:t>
      </w:r>
      <w:r w:rsidR="0072747B">
        <w:rPr>
          <w:rFonts w:cs="Arial"/>
          <w:sz w:val="22"/>
          <w:szCs w:val="22"/>
        </w:rPr>
        <w:t xml:space="preserve"> směřoval </w:t>
      </w:r>
      <w:r w:rsidR="00804906">
        <w:rPr>
          <w:rFonts w:cs="Arial"/>
          <w:sz w:val="22"/>
          <w:szCs w:val="22"/>
        </w:rPr>
        <w:t xml:space="preserve">tradičně </w:t>
      </w:r>
      <w:r w:rsidR="0072747B">
        <w:rPr>
          <w:rFonts w:cs="Arial"/>
          <w:sz w:val="22"/>
          <w:szCs w:val="22"/>
        </w:rPr>
        <w:t>zejména z</w:t>
      </w:r>
      <w:r w:rsidR="00804906">
        <w:rPr>
          <w:rFonts w:cs="Arial"/>
          <w:sz w:val="22"/>
          <w:szCs w:val="22"/>
        </w:rPr>
        <w:t> </w:t>
      </w:r>
      <w:r w:rsidR="00804906" w:rsidRPr="00804906">
        <w:rPr>
          <w:rFonts w:cs="Arial"/>
          <w:b/>
          <w:sz w:val="22"/>
          <w:szCs w:val="22"/>
        </w:rPr>
        <w:t>Německa</w:t>
      </w:r>
      <w:r w:rsidR="00804906">
        <w:rPr>
          <w:rFonts w:cs="Arial"/>
          <w:sz w:val="22"/>
          <w:szCs w:val="22"/>
        </w:rPr>
        <w:t xml:space="preserve"> (20,8 %) a </w:t>
      </w:r>
      <w:r w:rsidR="00804906" w:rsidRPr="00804906">
        <w:rPr>
          <w:rFonts w:cs="Arial"/>
          <w:b/>
          <w:sz w:val="22"/>
          <w:szCs w:val="22"/>
        </w:rPr>
        <w:t>Polska</w:t>
      </w:r>
      <w:r w:rsidR="00804906">
        <w:rPr>
          <w:rFonts w:cs="Arial"/>
          <w:sz w:val="22"/>
          <w:szCs w:val="22"/>
        </w:rPr>
        <w:t xml:space="preserve"> (18,9 %), dále nově na třetím místě </w:t>
      </w:r>
      <w:r w:rsidR="00AB3A69">
        <w:rPr>
          <w:rFonts w:cs="Arial"/>
          <w:sz w:val="22"/>
          <w:szCs w:val="22"/>
        </w:rPr>
        <w:t>z</w:t>
      </w:r>
      <w:r w:rsidR="00804906">
        <w:rPr>
          <w:rFonts w:cs="Arial"/>
          <w:sz w:val="22"/>
          <w:szCs w:val="22"/>
        </w:rPr>
        <w:t xml:space="preserve"> </w:t>
      </w:r>
      <w:r w:rsidR="00804906" w:rsidRPr="00804906">
        <w:rPr>
          <w:rFonts w:cs="Arial"/>
          <w:b/>
          <w:sz w:val="22"/>
          <w:szCs w:val="22"/>
        </w:rPr>
        <w:t>Nizozemska</w:t>
      </w:r>
      <w:r w:rsidR="00804906">
        <w:rPr>
          <w:rFonts w:cs="Arial"/>
          <w:sz w:val="22"/>
          <w:szCs w:val="22"/>
        </w:rPr>
        <w:t xml:space="preserve"> (7,2 %) a na čtvrtém </w:t>
      </w:r>
      <w:r w:rsidR="00AB3A69">
        <w:rPr>
          <w:rFonts w:cs="Arial"/>
          <w:sz w:val="22"/>
          <w:szCs w:val="22"/>
        </w:rPr>
        <w:t>ze</w:t>
      </w:r>
      <w:r w:rsidR="00804906">
        <w:rPr>
          <w:rFonts w:cs="Arial"/>
          <w:sz w:val="22"/>
          <w:szCs w:val="22"/>
        </w:rPr>
        <w:t xml:space="preserve"> </w:t>
      </w:r>
      <w:r w:rsidR="00804906" w:rsidRPr="00804906">
        <w:rPr>
          <w:rFonts w:cs="Arial"/>
          <w:b/>
          <w:sz w:val="22"/>
          <w:szCs w:val="22"/>
        </w:rPr>
        <w:t>Slovensk</w:t>
      </w:r>
      <w:r w:rsidR="00AB3A69">
        <w:rPr>
          <w:rFonts w:cs="Arial"/>
          <w:b/>
          <w:sz w:val="22"/>
          <w:szCs w:val="22"/>
        </w:rPr>
        <w:t>a</w:t>
      </w:r>
      <w:r w:rsidR="00804906">
        <w:rPr>
          <w:rFonts w:cs="Arial"/>
          <w:sz w:val="22"/>
          <w:szCs w:val="22"/>
        </w:rPr>
        <w:t xml:space="preserve"> (6,5 %), </w:t>
      </w:r>
      <w:r w:rsidR="00AB3A69">
        <w:rPr>
          <w:rFonts w:cs="Arial"/>
          <w:sz w:val="22"/>
          <w:szCs w:val="22"/>
        </w:rPr>
        <w:t>z</w:t>
      </w:r>
      <w:r w:rsidR="00804906">
        <w:rPr>
          <w:rFonts w:cs="Arial"/>
          <w:sz w:val="22"/>
          <w:szCs w:val="22"/>
        </w:rPr>
        <w:t xml:space="preserve"> </w:t>
      </w:r>
      <w:r w:rsidR="00804906" w:rsidRPr="00804906">
        <w:rPr>
          <w:rFonts w:cs="Arial"/>
          <w:b/>
          <w:sz w:val="22"/>
          <w:szCs w:val="22"/>
        </w:rPr>
        <w:t>Itálie</w:t>
      </w:r>
      <w:r w:rsidR="00804906">
        <w:rPr>
          <w:rFonts w:cs="Arial"/>
          <w:sz w:val="22"/>
          <w:szCs w:val="22"/>
        </w:rPr>
        <w:t xml:space="preserve"> (5,8 %) a</w:t>
      </w:r>
      <w:r w:rsidR="00AB3A69">
        <w:rPr>
          <w:rFonts w:cs="Arial"/>
          <w:sz w:val="22"/>
          <w:szCs w:val="22"/>
        </w:rPr>
        <w:t xml:space="preserve"> ze</w:t>
      </w:r>
      <w:r w:rsidR="00804906">
        <w:rPr>
          <w:rFonts w:cs="Arial"/>
          <w:sz w:val="22"/>
          <w:szCs w:val="22"/>
        </w:rPr>
        <w:t xml:space="preserve"> </w:t>
      </w:r>
      <w:r w:rsidR="00804906" w:rsidRPr="00804906">
        <w:rPr>
          <w:rFonts w:cs="Arial"/>
          <w:b/>
          <w:sz w:val="22"/>
          <w:szCs w:val="22"/>
        </w:rPr>
        <w:t>Španělska</w:t>
      </w:r>
      <w:r w:rsidR="00804906">
        <w:rPr>
          <w:rFonts w:cs="Arial"/>
          <w:sz w:val="22"/>
          <w:szCs w:val="22"/>
        </w:rPr>
        <w:t xml:space="preserve"> (5,3 %). Z mimounijních zemí j</w:t>
      </w:r>
      <w:r w:rsidR="00AB3A69">
        <w:rPr>
          <w:rFonts w:cs="Arial"/>
          <w:sz w:val="22"/>
          <w:szCs w:val="22"/>
        </w:rPr>
        <w:t>sou</w:t>
      </w:r>
      <w:r w:rsidR="00804906">
        <w:rPr>
          <w:rFonts w:cs="Arial"/>
          <w:sz w:val="22"/>
          <w:szCs w:val="22"/>
        </w:rPr>
        <w:t xml:space="preserve"> hlavním</w:t>
      </w:r>
      <w:r w:rsidR="00AB3A69">
        <w:rPr>
          <w:rFonts w:cs="Arial"/>
          <w:sz w:val="22"/>
          <w:szCs w:val="22"/>
        </w:rPr>
        <w:t xml:space="preserve">i dodavateli </w:t>
      </w:r>
      <w:r w:rsidR="00804906">
        <w:rPr>
          <w:rFonts w:cs="Arial"/>
          <w:sz w:val="22"/>
          <w:szCs w:val="22"/>
        </w:rPr>
        <w:t xml:space="preserve">Čína </w:t>
      </w:r>
      <w:r w:rsidR="00AB3A69">
        <w:rPr>
          <w:rFonts w:cs="Arial"/>
          <w:sz w:val="22"/>
          <w:szCs w:val="22"/>
        </w:rPr>
        <w:t>(</w:t>
      </w:r>
      <w:r w:rsidR="00804906">
        <w:rPr>
          <w:rFonts w:cs="Arial"/>
          <w:sz w:val="22"/>
          <w:szCs w:val="22"/>
        </w:rPr>
        <w:t xml:space="preserve">1,3 %), Brazílie (1,1 %), Turecko </w:t>
      </w:r>
      <w:r w:rsidR="001B5DB6">
        <w:rPr>
          <w:rFonts w:cs="Arial"/>
          <w:sz w:val="22"/>
          <w:szCs w:val="22"/>
        </w:rPr>
        <w:t xml:space="preserve">(1,1 %) a </w:t>
      </w:r>
      <w:r w:rsidR="00C976E2">
        <w:rPr>
          <w:rFonts w:cs="Arial"/>
          <w:sz w:val="22"/>
          <w:szCs w:val="22"/>
        </w:rPr>
        <w:t>Spojené státy (1,0 %) s tím, že </w:t>
      </w:r>
      <w:r w:rsidR="001B5DB6">
        <w:rPr>
          <w:rFonts w:cs="Arial"/>
          <w:sz w:val="22"/>
          <w:szCs w:val="22"/>
        </w:rPr>
        <w:t>meziročně z nich v roce 2016 s výjimkou Číny hodnota dovozu poklesla.</w:t>
      </w:r>
    </w:p>
    <w:p w:rsidR="00D255AD" w:rsidRDefault="00180C7B" w:rsidP="005B3BB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AB3A69">
        <w:rPr>
          <w:rFonts w:cs="Arial"/>
          <w:sz w:val="22"/>
          <w:szCs w:val="22"/>
        </w:rPr>
        <w:t xml:space="preserve"> nejvýraznějšímu </w:t>
      </w:r>
      <w:r>
        <w:rPr>
          <w:rFonts w:cs="Arial"/>
          <w:sz w:val="22"/>
          <w:szCs w:val="22"/>
        </w:rPr>
        <w:t>meziročnímu zhoršení bilance v </w:t>
      </w:r>
      <w:r>
        <w:rPr>
          <w:rFonts w:cs="Arial"/>
          <w:b/>
          <w:sz w:val="22"/>
          <w:szCs w:val="22"/>
        </w:rPr>
        <w:t>teritoriálním pohledu</w:t>
      </w:r>
      <w:r w:rsidR="00D255AD">
        <w:rPr>
          <w:rFonts w:cs="Arial"/>
          <w:sz w:val="22"/>
          <w:szCs w:val="22"/>
        </w:rPr>
        <w:t xml:space="preserve"> došlo </w:t>
      </w:r>
      <w:r w:rsidR="00AB3A69">
        <w:rPr>
          <w:rFonts w:cs="Arial"/>
          <w:sz w:val="22"/>
          <w:szCs w:val="22"/>
        </w:rPr>
        <w:t xml:space="preserve">v roce 2016 </w:t>
      </w:r>
      <w:r w:rsidR="00D255AD">
        <w:rPr>
          <w:rFonts w:cs="Arial"/>
          <w:sz w:val="22"/>
          <w:szCs w:val="22"/>
        </w:rPr>
        <w:t xml:space="preserve">v obchodě s Německem, kde schodek </w:t>
      </w:r>
      <w:r w:rsidR="00AB3A69">
        <w:rPr>
          <w:rFonts w:cs="Arial"/>
          <w:sz w:val="22"/>
          <w:szCs w:val="22"/>
        </w:rPr>
        <w:t xml:space="preserve">vzrostl </w:t>
      </w:r>
      <w:r w:rsidR="00D255AD">
        <w:rPr>
          <w:rFonts w:cs="Arial"/>
          <w:sz w:val="22"/>
          <w:szCs w:val="22"/>
        </w:rPr>
        <w:t>o 4,1 mld. Kč</w:t>
      </w:r>
      <w:r w:rsidR="00AB3A69">
        <w:rPr>
          <w:rFonts w:cs="Arial"/>
          <w:sz w:val="22"/>
          <w:szCs w:val="22"/>
        </w:rPr>
        <w:t xml:space="preserve"> (</w:t>
      </w:r>
      <w:r w:rsidR="00D255AD">
        <w:rPr>
          <w:rFonts w:cs="Arial"/>
          <w:sz w:val="22"/>
          <w:szCs w:val="22"/>
        </w:rPr>
        <w:t xml:space="preserve">po roce </w:t>
      </w:r>
      <w:r w:rsidR="00AB3A69">
        <w:rPr>
          <w:rFonts w:cs="Arial"/>
          <w:sz w:val="22"/>
          <w:szCs w:val="22"/>
        </w:rPr>
        <w:t xml:space="preserve">se tak tato země vrátila </w:t>
      </w:r>
      <w:r w:rsidR="00B176E3">
        <w:rPr>
          <w:rFonts w:cs="Arial"/>
          <w:sz w:val="22"/>
          <w:szCs w:val="22"/>
        </w:rPr>
        <w:t xml:space="preserve">na třetí místo v pořadí </w:t>
      </w:r>
      <w:r w:rsidR="00D255AD">
        <w:rPr>
          <w:rFonts w:cs="Arial"/>
          <w:sz w:val="22"/>
          <w:szCs w:val="22"/>
        </w:rPr>
        <w:t>netto-dodavatel</w:t>
      </w:r>
      <w:r w:rsidR="00B176E3">
        <w:rPr>
          <w:rFonts w:cs="Arial"/>
          <w:sz w:val="22"/>
          <w:szCs w:val="22"/>
        </w:rPr>
        <w:t>ů za Polsk</w:t>
      </w:r>
      <w:r w:rsidR="00AB3A69">
        <w:rPr>
          <w:rFonts w:cs="Arial"/>
          <w:sz w:val="22"/>
          <w:szCs w:val="22"/>
        </w:rPr>
        <w:t>o</w:t>
      </w:r>
      <w:r w:rsidR="00B176E3">
        <w:rPr>
          <w:rFonts w:cs="Arial"/>
          <w:sz w:val="22"/>
          <w:szCs w:val="22"/>
        </w:rPr>
        <w:t xml:space="preserve"> a Nizozemsk</w:t>
      </w:r>
      <w:r w:rsidR="00AB3A69">
        <w:rPr>
          <w:rFonts w:cs="Arial"/>
          <w:sz w:val="22"/>
          <w:szCs w:val="22"/>
        </w:rPr>
        <w:t>o</w:t>
      </w:r>
      <w:r w:rsidR="00B176E3">
        <w:rPr>
          <w:rFonts w:cs="Arial"/>
          <w:sz w:val="22"/>
          <w:szCs w:val="22"/>
        </w:rPr>
        <w:t>)</w:t>
      </w:r>
      <w:r w:rsidR="00C976E2">
        <w:rPr>
          <w:rFonts w:cs="Arial"/>
          <w:sz w:val="22"/>
          <w:szCs w:val="22"/>
        </w:rPr>
        <w:t>. Dále došlo ke </w:t>
      </w:r>
      <w:r w:rsidR="00D255AD">
        <w:rPr>
          <w:rFonts w:cs="Arial"/>
          <w:sz w:val="22"/>
          <w:szCs w:val="22"/>
        </w:rPr>
        <w:t xml:space="preserve">změně </w:t>
      </w:r>
      <w:r w:rsidR="00342F7C">
        <w:rPr>
          <w:rFonts w:cs="Arial"/>
          <w:sz w:val="22"/>
          <w:szCs w:val="22"/>
        </w:rPr>
        <w:t xml:space="preserve">bilančního </w:t>
      </w:r>
      <w:r w:rsidR="00D255AD">
        <w:rPr>
          <w:rFonts w:cs="Arial"/>
          <w:sz w:val="22"/>
          <w:szCs w:val="22"/>
        </w:rPr>
        <w:t>aktiva na pasivum v obchodě s </w:t>
      </w:r>
      <w:r w:rsidR="00C976E2">
        <w:rPr>
          <w:rFonts w:cs="Arial"/>
          <w:sz w:val="22"/>
          <w:szCs w:val="22"/>
        </w:rPr>
        <w:t>Francií (změna o 2,8 mld. Kč) a k </w:t>
      </w:r>
      <w:r w:rsidR="00D255AD">
        <w:rPr>
          <w:rFonts w:cs="Arial"/>
          <w:sz w:val="22"/>
          <w:szCs w:val="22"/>
        </w:rPr>
        <w:t>poklesu aktiva v obchodě se Slovenskem (o 1,2 mld. Kč) a Rumunskem (o 1,1 mld. Kč).</w:t>
      </w:r>
      <w:r w:rsidR="005B3BBB">
        <w:rPr>
          <w:rFonts w:cs="Arial"/>
          <w:sz w:val="22"/>
          <w:szCs w:val="22"/>
        </w:rPr>
        <w:t xml:space="preserve"> </w:t>
      </w:r>
      <w:r w:rsidR="00D255AD">
        <w:rPr>
          <w:rFonts w:cs="Arial"/>
          <w:sz w:val="22"/>
          <w:szCs w:val="22"/>
        </w:rPr>
        <w:t>Naopak navýšení zaznamenala kladná bilance obchodu s Itálií (o 3,3 mld. K</w:t>
      </w:r>
      <w:r w:rsidR="00342F7C">
        <w:rPr>
          <w:rFonts w:cs="Arial"/>
          <w:sz w:val="22"/>
          <w:szCs w:val="22"/>
        </w:rPr>
        <w:t>č), Maďarskem (o 1,2 </w:t>
      </w:r>
      <w:r w:rsidR="005B3BBB">
        <w:rPr>
          <w:rFonts w:cs="Arial"/>
          <w:sz w:val="22"/>
          <w:szCs w:val="22"/>
        </w:rPr>
        <w:t>mld. Kč) a </w:t>
      </w:r>
      <w:r w:rsidR="00D255AD">
        <w:rPr>
          <w:rFonts w:cs="Arial"/>
          <w:sz w:val="22"/>
          <w:szCs w:val="22"/>
        </w:rPr>
        <w:t>Bulharskem (o 1,2 mld. Kč) a ke zlepšení došlo také v obchodě s Polskem a Brazílií</w:t>
      </w:r>
      <w:r w:rsidR="00AB3A69">
        <w:rPr>
          <w:rFonts w:cs="Arial"/>
          <w:sz w:val="22"/>
          <w:szCs w:val="22"/>
        </w:rPr>
        <w:t xml:space="preserve"> (v</w:t>
      </w:r>
      <w:r w:rsidR="00D255AD">
        <w:rPr>
          <w:rFonts w:cs="Arial"/>
          <w:sz w:val="22"/>
          <w:szCs w:val="22"/>
        </w:rPr>
        <w:t> </w:t>
      </w:r>
      <w:r w:rsidR="00AB3A69">
        <w:rPr>
          <w:rFonts w:cs="Arial"/>
          <w:sz w:val="22"/>
          <w:szCs w:val="22"/>
        </w:rPr>
        <w:t>jejich</w:t>
      </w:r>
      <w:r w:rsidR="00D255AD">
        <w:rPr>
          <w:rFonts w:cs="Arial"/>
          <w:sz w:val="22"/>
          <w:szCs w:val="22"/>
        </w:rPr>
        <w:t xml:space="preserve"> případě se snížila záporná bilance o 1,9 mld. Kč a o 1,5 mld. Kč).</w:t>
      </w:r>
      <w:r w:rsidR="005B3BBB">
        <w:rPr>
          <w:rFonts w:cs="Arial"/>
          <w:sz w:val="22"/>
          <w:szCs w:val="22"/>
        </w:rPr>
        <w:t xml:space="preserve"> Výše uvedené bilanční změny byly často určeny jen jednou komoditou (např. v případě Francie, Rumunska a Itálie cigaretami), přič</w:t>
      </w:r>
      <w:r w:rsidR="000B584D">
        <w:rPr>
          <w:rFonts w:cs="Arial"/>
          <w:sz w:val="22"/>
          <w:szCs w:val="22"/>
        </w:rPr>
        <w:t>emž to platí zejména pro obchodní výměnu</w:t>
      </w:r>
      <w:r w:rsidR="005B3BBB">
        <w:rPr>
          <w:rFonts w:cs="Arial"/>
          <w:sz w:val="22"/>
          <w:szCs w:val="22"/>
        </w:rPr>
        <w:t xml:space="preserve"> se zeměmi, je</w:t>
      </w:r>
      <w:r w:rsidR="000B584D">
        <w:rPr>
          <w:rFonts w:cs="Arial"/>
          <w:sz w:val="22"/>
          <w:szCs w:val="22"/>
        </w:rPr>
        <w:t>jíž</w:t>
      </w:r>
      <w:r w:rsidR="005B3BBB">
        <w:rPr>
          <w:rFonts w:cs="Arial"/>
          <w:sz w:val="22"/>
          <w:szCs w:val="22"/>
        </w:rPr>
        <w:t xml:space="preserve"> sortiment je užší (netýká se to např. Maďarska, kde se bilance </w:t>
      </w:r>
      <w:r w:rsidR="000B584D">
        <w:rPr>
          <w:rFonts w:cs="Arial"/>
          <w:sz w:val="22"/>
          <w:szCs w:val="22"/>
        </w:rPr>
        <w:t xml:space="preserve">meziročně </w:t>
      </w:r>
      <w:r w:rsidR="005B3BBB">
        <w:rPr>
          <w:rFonts w:cs="Arial"/>
          <w:sz w:val="22"/>
          <w:szCs w:val="22"/>
        </w:rPr>
        <w:t xml:space="preserve">změnila </w:t>
      </w:r>
      <w:r w:rsidR="00342F7C">
        <w:rPr>
          <w:rFonts w:cs="Arial"/>
          <w:sz w:val="22"/>
          <w:szCs w:val="22"/>
        </w:rPr>
        <w:t>v </w:t>
      </w:r>
      <w:r w:rsidR="000B584D">
        <w:rPr>
          <w:rFonts w:cs="Arial"/>
          <w:sz w:val="22"/>
          <w:szCs w:val="22"/>
        </w:rPr>
        <w:t>důsledku</w:t>
      </w:r>
      <w:r w:rsidR="005B3BBB">
        <w:rPr>
          <w:rFonts w:cs="Arial"/>
          <w:sz w:val="22"/>
          <w:szCs w:val="22"/>
        </w:rPr>
        <w:t xml:space="preserve"> vývoje u celé řady komodit).</w:t>
      </w:r>
    </w:p>
    <w:p w:rsidR="004F28AB" w:rsidRPr="004F28AB" w:rsidRDefault="004F28AB" w:rsidP="004F28AB">
      <w:pPr>
        <w:spacing w:line="276" w:lineRule="auto"/>
        <w:rPr>
          <w:rFonts w:cs="Arial"/>
          <w:sz w:val="22"/>
          <w:szCs w:val="22"/>
        </w:rPr>
      </w:pPr>
      <w:r w:rsidRPr="004F28AB">
        <w:rPr>
          <w:rFonts w:cs="Arial"/>
          <w:sz w:val="22"/>
          <w:szCs w:val="22"/>
        </w:rPr>
        <w:t>.</w:t>
      </w:r>
    </w:p>
    <w:p w:rsidR="00BC4485" w:rsidRPr="004837AB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Default="000E5873" w:rsidP="00BC4485">
      <w:pPr>
        <w:pStyle w:val="Styl2"/>
        <w:rPr>
          <w:rFonts w:cs="Arial"/>
          <w:sz w:val="22"/>
          <w:szCs w:val="22"/>
        </w:rPr>
      </w:pPr>
      <w:r w:rsidRPr="00BC4485">
        <w:rPr>
          <w:rFonts w:cs="Arial"/>
          <w:sz w:val="22"/>
          <w:szCs w:val="22"/>
        </w:rPr>
        <w:lastRenderedPageBreak/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Pr="00BC4485">
        <w:rPr>
          <w:rFonts w:cs="Arial"/>
          <w:sz w:val="22"/>
          <w:szCs w:val="22"/>
        </w:rPr>
        <w:t xml:space="preserve">– Vývoj bilance AZO ČR </w:t>
      </w:r>
      <w:r w:rsidR="00855733">
        <w:rPr>
          <w:rFonts w:cs="Arial"/>
          <w:sz w:val="22"/>
          <w:szCs w:val="22"/>
        </w:rPr>
        <w:t xml:space="preserve">v roce 2011 až </w:t>
      </w:r>
      <w:r w:rsidR="00267933" w:rsidRPr="00BC4485">
        <w:rPr>
          <w:rFonts w:cs="Arial"/>
          <w:sz w:val="22"/>
          <w:szCs w:val="22"/>
        </w:rPr>
        <w:t xml:space="preserve">2016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>čtvrtletí</w:t>
      </w:r>
      <w:r w:rsidR="00BC4485">
        <w:rPr>
          <w:rFonts w:cs="Arial"/>
          <w:sz w:val="22"/>
          <w:szCs w:val="22"/>
        </w:rPr>
        <w:t xml:space="preserve"> </w:t>
      </w:r>
      <w:r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Pr="00BC4485">
        <w:rPr>
          <w:rFonts w:cs="Arial"/>
          <w:sz w:val="22"/>
          <w:szCs w:val="22"/>
        </w:rPr>
        <w:t xml:space="preserve">Kč) </w:t>
      </w:r>
    </w:p>
    <w:p w:rsidR="008920F3" w:rsidRPr="00BC4485" w:rsidRDefault="00BF6D19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4711878">
            <wp:extent cx="5753100" cy="29926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56" cy="299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137" w:rsidRPr="00554821" w:rsidRDefault="006F1CE6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r w:rsidRPr="00554821">
        <w:rPr>
          <w:rFonts w:cs="Arial"/>
          <w:b w:val="0"/>
          <w:sz w:val="18"/>
        </w:rPr>
        <w:t>mimounijní</w:t>
      </w:r>
      <w:r w:rsidR="00554821" w:rsidRPr="00554821">
        <w:rPr>
          <w:rFonts w:cs="Arial"/>
          <w:b w:val="0"/>
          <w:sz w:val="18"/>
        </w:rPr>
        <w:t>)</w:t>
      </w:r>
      <w:r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8F474F">
        <w:rPr>
          <w:rFonts w:cs="Arial"/>
          <w:b w:val="0"/>
          <w:sz w:val="18"/>
        </w:rPr>
        <w:t>únor 2017</w:t>
      </w:r>
      <w:r w:rsidRPr="00554821">
        <w:rPr>
          <w:rFonts w:cs="Arial"/>
          <w:b w:val="0"/>
          <w:sz w:val="18"/>
        </w:rPr>
        <w:t>I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8F474F">
        <w:rPr>
          <w:rFonts w:cs="Arial"/>
          <w:sz w:val="22"/>
          <w:szCs w:val="22"/>
        </w:rPr>
        <w:t>celý rok</w:t>
      </w:r>
      <w:r w:rsidR="00D66F5A" w:rsidRPr="004837AB">
        <w:rPr>
          <w:rFonts w:cs="Arial"/>
          <w:sz w:val="22"/>
          <w:szCs w:val="22"/>
        </w:rPr>
        <w:t xml:space="preserve"> 2016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8F474F">
        <w:rPr>
          <w:rFonts w:cs="Arial"/>
          <w:sz w:val="22"/>
          <w:szCs w:val="22"/>
        </w:rPr>
        <w:t>7. února 2017 a jedná se o data předběžná. Ú</w:t>
      </w:r>
      <w:r w:rsidRPr="004837AB">
        <w:rPr>
          <w:rFonts w:cs="Arial"/>
          <w:sz w:val="22"/>
          <w:szCs w:val="22"/>
        </w:rPr>
        <w:t>daje za</w:t>
      </w:r>
      <w:r w:rsidR="008031E0">
        <w:rPr>
          <w:rFonts w:cs="Arial"/>
          <w:sz w:val="22"/>
          <w:szCs w:val="22"/>
        </w:rPr>
        <w:t> </w:t>
      </w:r>
      <w:r w:rsidRPr="004837AB">
        <w:rPr>
          <w:rFonts w:cs="Arial"/>
          <w:sz w:val="22"/>
          <w:szCs w:val="22"/>
        </w:rPr>
        <w:t xml:space="preserve">předchozí roky jsou definitivní.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Materiál zpracoval odbor 1</w:t>
      </w:r>
      <w:r w:rsidR="0072747B">
        <w:rPr>
          <w:rFonts w:cs="Arial"/>
          <w:sz w:val="22"/>
          <w:szCs w:val="22"/>
        </w:rPr>
        <w:t>7240</w:t>
      </w:r>
      <w:r w:rsidRPr="004837AB">
        <w:rPr>
          <w:rFonts w:cs="Arial"/>
          <w:sz w:val="22"/>
          <w:szCs w:val="22"/>
        </w:rPr>
        <w:t xml:space="preserve">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72747B">
        <w:rPr>
          <w:rFonts w:cs="Arial"/>
          <w:sz w:val="22"/>
          <w:szCs w:val="22"/>
        </w:rPr>
        <w:t>72/2017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94251D">
        <w:rPr>
          <w:rFonts w:cs="Arial"/>
          <w:sz w:val="22"/>
          <w:szCs w:val="22"/>
        </w:rPr>
        <w:t xml:space="preserve">Dne </w:t>
      </w:r>
      <w:r w:rsidR="00C976E2">
        <w:rPr>
          <w:rFonts w:cs="Arial"/>
          <w:sz w:val="22"/>
          <w:szCs w:val="22"/>
        </w:rPr>
        <w:t>9</w:t>
      </w:r>
      <w:r w:rsidRPr="00C976E2">
        <w:rPr>
          <w:rFonts w:cs="Arial"/>
          <w:sz w:val="22"/>
          <w:szCs w:val="22"/>
        </w:rPr>
        <w:t>.</w:t>
      </w:r>
      <w:r w:rsidRPr="0094251D">
        <w:rPr>
          <w:rFonts w:cs="Arial"/>
          <w:sz w:val="22"/>
          <w:szCs w:val="22"/>
        </w:rPr>
        <w:t xml:space="preserve"> </w:t>
      </w:r>
      <w:r w:rsidR="0072747B">
        <w:rPr>
          <w:rFonts w:cs="Arial"/>
          <w:sz w:val="22"/>
          <w:szCs w:val="22"/>
        </w:rPr>
        <w:t>února</w:t>
      </w:r>
      <w:r w:rsidRPr="0094251D">
        <w:rPr>
          <w:rFonts w:cs="Arial"/>
          <w:sz w:val="22"/>
          <w:szCs w:val="22"/>
        </w:rPr>
        <w:t xml:space="preserve"> 201</w:t>
      </w:r>
      <w:r w:rsidR="0072747B">
        <w:rPr>
          <w:rFonts w:cs="Arial"/>
          <w:sz w:val="22"/>
          <w:szCs w:val="22"/>
        </w:rPr>
        <w:t>7</w:t>
      </w:r>
    </w:p>
    <w:p w:rsidR="000E5873" w:rsidRDefault="00B93CE9" w:rsidP="000E5873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 xml:space="preserve">Tabulka </w:t>
      </w:r>
      <w:r w:rsidR="008E4A7D">
        <w:rPr>
          <w:rFonts w:cs="Arial"/>
          <w:sz w:val="22"/>
        </w:rPr>
        <w:t xml:space="preserve">1 </w:t>
      </w:r>
      <w:r w:rsidR="000E5873" w:rsidRPr="00432F30">
        <w:rPr>
          <w:rFonts w:cs="Arial"/>
          <w:sz w:val="22"/>
        </w:rPr>
        <w:t>– Vývoj AZO ČR v</w:t>
      </w:r>
      <w:r w:rsidR="0072747B">
        <w:rPr>
          <w:rFonts w:cs="Arial"/>
          <w:sz w:val="22"/>
        </w:rPr>
        <w:t> letech 2014</w:t>
      </w:r>
      <w:r w:rsidR="00185CD8" w:rsidRPr="00432F30">
        <w:rPr>
          <w:rFonts w:cs="Arial"/>
          <w:sz w:val="22"/>
        </w:rPr>
        <w:t xml:space="preserve"> </w:t>
      </w:r>
      <w:r w:rsidR="000E5873" w:rsidRPr="00432F30">
        <w:rPr>
          <w:rFonts w:cs="Arial"/>
          <w:sz w:val="22"/>
        </w:rPr>
        <w:t>a 201</w:t>
      </w:r>
      <w:r w:rsidR="00432F30" w:rsidRPr="00432F30">
        <w:rPr>
          <w:rFonts w:cs="Arial"/>
          <w:sz w:val="22"/>
        </w:rPr>
        <w:t>6</w:t>
      </w:r>
      <w:r w:rsidR="000E5873" w:rsidRPr="00432F30">
        <w:rPr>
          <w:rFonts w:cs="Arial"/>
          <w:sz w:val="22"/>
        </w:rPr>
        <w:t xml:space="preserve"> </w:t>
      </w:r>
      <w:r w:rsidR="0072747B">
        <w:rPr>
          <w:rFonts w:cs="Arial"/>
          <w:sz w:val="22"/>
        </w:rPr>
        <w:t xml:space="preserve">podle čtvrtletí </w:t>
      </w:r>
      <w:r w:rsidR="000E5873"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8E4A7D" w:rsidRDefault="0072747B" w:rsidP="008E4A7D">
      <w:pPr>
        <w:ind w:firstLine="0"/>
      </w:pPr>
      <w:r w:rsidRPr="0072747B">
        <w:rPr>
          <w:noProof/>
        </w:rPr>
        <w:drawing>
          <wp:inline distT="0" distB="0" distL="0" distR="0">
            <wp:extent cx="5759450" cy="297445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72747B">
        <w:rPr>
          <w:rFonts w:cs="Arial"/>
          <w:b w:val="0"/>
          <w:sz w:val="18"/>
        </w:rPr>
        <w:t>únor 2017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B93CE9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t xml:space="preserve">Tabulka </w:t>
      </w:r>
      <w:r w:rsidR="008E4A7D">
        <w:rPr>
          <w:rFonts w:cs="Arial"/>
          <w:sz w:val="22"/>
        </w:rPr>
        <w:t xml:space="preserve">2 </w:t>
      </w:r>
      <w:r w:rsidRPr="00432F30">
        <w:rPr>
          <w:rFonts w:cs="Arial"/>
          <w:sz w:val="22"/>
        </w:rPr>
        <w:t>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C272D2">
        <w:rPr>
          <w:rFonts w:cs="Arial"/>
          <w:sz w:val="22"/>
        </w:rPr>
        <w:t xml:space="preserve"> 20</w:t>
      </w:r>
      <w:r w:rsidR="0072747B">
        <w:rPr>
          <w:rFonts w:cs="Arial"/>
          <w:sz w:val="22"/>
        </w:rPr>
        <w:t>11 až</w:t>
      </w:r>
      <w:r w:rsidR="00855733">
        <w:rPr>
          <w:rFonts w:cs="Arial"/>
          <w:sz w:val="22"/>
        </w:rPr>
        <w:t xml:space="preserve"> </w:t>
      </w:r>
      <w:r w:rsidRPr="00432F30">
        <w:rPr>
          <w:rFonts w:cs="Arial"/>
          <w:sz w:val="22"/>
        </w:rPr>
        <w:t>201</w:t>
      </w:r>
      <w:r w:rsidR="00432F30" w:rsidRPr="00432F30">
        <w:rPr>
          <w:rFonts w:cs="Arial"/>
          <w:sz w:val="22"/>
        </w:rPr>
        <w:t>6</w:t>
      </w:r>
      <w:r w:rsidR="0072747B">
        <w:rPr>
          <w:rFonts w:cs="Arial"/>
          <w:sz w:val="22"/>
        </w:rPr>
        <w:t xml:space="preserve"> </w:t>
      </w:r>
      <w:r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72747B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72747B">
        <w:rPr>
          <w:noProof/>
        </w:rPr>
        <w:drawing>
          <wp:inline distT="0" distB="0" distL="0" distR="0">
            <wp:extent cx="5759450" cy="1951393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72747B">
        <w:rPr>
          <w:rFonts w:cs="Arial"/>
          <w:b w:val="0"/>
          <w:sz w:val="18"/>
        </w:rPr>
        <w:t>únor 2017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090DFE">
      <w:pPr>
        <w:pStyle w:val="Styl2"/>
        <w:rPr>
          <w:rFonts w:cs="Arial"/>
          <w:sz w:val="22"/>
          <w:szCs w:val="22"/>
        </w:rPr>
      </w:pPr>
      <w:bookmarkStart w:id="1" w:name="_Toc417464156"/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 xml:space="preserve">vývozu </w:t>
      </w:r>
      <w:r w:rsidR="00991236" w:rsidRPr="002B5558">
        <w:rPr>
          <w:rFonts w:cs="Arial"/>
          <w:sz w:val="22"/>
          <w:szCs w:val="22"/>
        </w:rPr>
        <w:t xml:space="preserve">agrárního zboží </w:t>
      </w:r>
      <w:r w:rsidRPr="002B5558">
        <w:rPr>
          <w:rFonts w:cs="Arial"/>
          <w:sz w:val="22"/>
          <w:szCs w:val="22"/>
        </w:rPr>
        <w:t xml:space="preserve">z ČR </w:t>
      </w:r>
      <w:r w:rsidR="002B5558" w:rsidRPr="002B5558">
        <w:rPr>
          <w:rFonts w:cs="Arial"/>
          <w:sz w:val="22"/>
          <w:szCs w:val="22"/>
        </w:rPr>
        <w:t xml:space="preserve">v roce 2011 až </w:t>
      </w:r>
      <w:r w:rsidR="00222BE8">
        <w:rPr>
          <w:rFonts w:cs="Arial"/>
          <w:sz w:val="22"/>
          <w:szCs w:val="22"/>
        </w:rPr>
        <w:t>2016</w:t>
      </w:r>
      <w:r w:rsidR="00C272D2">
        <w:rPr>
          <w:rFonts w:cs="Arial"/>
          <w:sz w:val="22"/>
          <w:szCs w:val="22"/>
        </w:rPr>
        <w:t xml:space="preserve"> podle čtvrtletí</w:t>
      </w:r>
      <w:r w:rsidRPr="002B5558">
        <w:rPr>
          <w:rFonts w:cs="Arial"/>
          <w:sz w:val="22"/>
          <w:szCs w:val="22"/>
        </w:rPr>
        <w:t xml:space="preserve"> (mld.</w:t>
      </w:r>
      <w:r w:rsidR="00991236" w:rsidRPr="002B5558">
        <w:rPr>
          <w:rFonts w:cs="Arial"/>
          <w:sz w:val="22"/>
          <w:szCs w:val="22"/>
        </w:rPr>
        <w:t> </w:t>
      </w:r>
      <w:r w:rsidRPr="002B5558">
        <w:rPr>
          <w:rFonts w:cs="Arial"/>
          <w:sz w:val="22"/>
          <w:szCs w:val="22"/>
        </w:rPr>
        <w:t>Kč)</w:t>
      </w:r>
      <w:bookmarkEnd w:id="1"/>
    </w:p>
    <w:p w:rsidR="005D3DFC" w:rsidRPr="00432F30" w:rsidRDefault="00222BE8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43F75A6F">
            <wp:extent cx="5743575" cy="2987116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43" cy="299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2" w:name="_Toc417464157"/>
      <w:r w:rsidRPr="00432F30">
        <w:rPr>
          <w:rFonts w:cs="Arial"/>
          <w:b w:val="0"/>
          <w:i/>
        </w:rPr>
        <w:t>Zdroj: D</w:t>
      </w:r>
      <w:r w:rsidR="00222BE8">
        <w:rPr>
          <w:rFonts w:cs="Arial"/>
          <w:b w:val="0"/>
          <w:i/>
        </w:rPr>
        <w:t>atabáze zahraničního obchodu ČSÚ, únor 2017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991236">
      <w:pPr>
        <w:pStyle w:val="Styl2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r w:rsidR="002B5558" w:rsidRPr="002B5558">
        <w:rPr>
          <w:rFonts w:cs="Arial"/>
          <w:sz w:val="22"/>
          <w:szCs w:val="22"/>
        </w:rPr>
        <w:t xml:space="preserve">v roce 2011 až </w:t>
      </w:r>
      <w:r w:rsidR="00222BE8">
        <w:rPr>
          <w:rFonts w:cs="Arial"/>
          <w:sz w:val="22"/>
          <w:szCs w:val="22"/>
        </w:rPr>
        <w:t>2016 podle čtvrtletí</w:t>
      </w:r>
      <w:bookmarkEnd w:id="2"/>
      <w:r w:rsidR="00222BE8">
        <w:rPr>
          <w:rFonts w:cs="Arial"/>
          <w:sz w:val="22"/>
          <w:szCs w:val="22"/>
        </w:rPr>
        <w:t xml:space="preserve"> </w:t>
      </w:r>
      <w:r w:rsidR="00991236" w:rsidRPr="002B5558">
        <w:rPr>
          <w:rFonts w:cs="Arial"/>
          <w:sz w:val="22"/>
          <w:szCs w:val="22"/>
        </w:rPr>
        <w:t>(mld. Kč)</w:t>
      </w:r>
    </w:p>
    <w:p w:rsidR="008920F3" w:rsidRDefault="00222BE8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 wp14:anchorId="1B6146D2">
            <wp:extent cx="5772150" cy="3001977"/>
            <wp:effectExtent l="0" t="0" r="0" b="825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81" cy="300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236" w:rsidRPr="00432F30" w:rsidRDefault="00991236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222BE8">
        <w:rPr>
          <w:rFonts w:cs="Arial"/>
          <w:b w:val="0"/>
          <w:i/>
        </w:rPr>
        <w:t>únor 2017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lastRenderedPageBreak/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>ožek z ČR v </w:t>
      </w:r>
      <w:r w:rsidR="000B6727" w:rsidRPr="002B5558">
        <w:rPr>
          <w:rFonts w:cs="Arial"/>
          <w:sz w:val="22"/>
          <w:szCs w:val="22"/>
        </w:rPr>
        <w:t>roce</w:t>
      </w:r>
      <w:r w:rsidR="00DE61A3"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="00DB688F">
        <w:rPr>
          <w:rFonts w:cs="Arial"/>
          <w:sz w:val="22"/>
          <w:szCs w:val="22"/>
        </w:rPr>
        <w:t xml:space="preserve"> až </w:t>
      </w:r>
      <w:r w:rsidR="00C272D2" w:rsidRPr="002B5558">
        <w:rPr>
          <w:rFonts w:cs="Arial"/>
          <w:sz w:val="22"/>
          <w:szCs w:val="22"/>
        </w:rPr>
        <w:t>2016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</w:t>
      </w:r>
      <w:r w:rsidR="000B6727" w:rsidRPr="002B5558">
        <w:rPr>
          <w:rFonts w:cs="Arial"/>
          <w:sz w:val="22"/>
          <w:szCs w:val="22"/>
        </w:rPr>
        <w:t>roce</w:t>
      </w:r>
      <w:r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="00222BE8">
        <w:rPr>
          <w:rFonts w:cs="Arial"/>
          <w:sz w:val="22"/>
          <w:szCs w:val="22"/>
        </w:rPr>
        <w:t xml:space="preserve"> až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Zahraniční obchod ČR – mimounijní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 xml:space="preserve">ních zemí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r w:rsidRPr="002B5558">
        <w:rPr>
          <w:rFonts w:cs="Arial"/>
          <w:sz w:val="22"/>
          <w:szCs w:val="22"/>
        </w:rPr>
        <w:t xml:space="preserve">mimounijních zemí do ČR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A9720B" w:rsidRPr="002B5558" w:rsidRDefault="00A9720B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>Komodity definované 4-místným kódem HS js</w:t>
      </w:r>
      <w:r w:rsidR="00D963C0">
        <w:rPr>
          <w:rFonts w:cs="Arial"/>
          <w:i/>
          <w:sz w:val="22"/>
          <w:szCs w:val="22"/>
        </w:rPr>
        <w:t>ou do tabulek 1 až 3 vybrány na </w:t>
      </w:r>
      <w:r w:rsidR="00962443" w:rsidRPr="002B5558">
        <w:rPr>
          <w:rFonts w:cs="Arial"/>
          <w:i/>
          <w:sz w:val="22"/>
          <w:szCs w:val="22"/>
        </w:rPr>
        <w:t xml:space="preserve">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D963C0">
        <w:rPr>
          <w:rFonts w:cs="Arial"/>
          <w:i/>
          <w:sz w:val="22"/>
          <w:szCs w:val="22"/>
        </w:rPr>
        <w:t>2011 až </w:t>
      </w:r>
      <w:r w:rsidR="00855733">
        <w:rPr>
          <w:rFonts w:cs="Arial"/>
          <w:i/>
          <w:sz w:val="22"/>
          <w:szCs w:val="22"/>
        </w:rPr>
        <w:t>20</w:t>
      </w:r>
      <w:r w:rsidR="00222BE8">
        <w:rPr>
          <w:rFonts w:cs="Arial"/>
          <w:i/>
          <w:sz w:val="22"/>
          <w:szCs w:val="22"/>
        </w:rPr>
        <w:t>16 a </w:t>
      </w:r>
      <w:r w:rsidR="00962443" w:rsidRPr="002B5558">
        <w:rPr>
          <w:rFonts w:cs="Arial"/>
          <w:i/>
          <w:sz w:val="22"/>
          <w:szCs w:val="22"/>
        </w:rPr>
        <w:t>řazeny jsou podle roku 201</w:t>
      </w:r>
      <w:r w:rsidR="00222BE8">
        <w:rPr>
          <w:rFonts w:cs="Arial"/>
          <w:i/>
          <w:sz w:val="22"/>
          <w:szCs w:val="22"/>
        </w:rPr>
        <w:t>6</w:t>
      </w:r>
      <w:r w:rsidR="00962443" w:rsidRPr="002B5558">
        <w:rPr>
          <w:rFonts w:cs="Arial"/>
          <w:i/>
          <w:sz w:val="22"/>
          <w:szCs w:val="22"/>
        </w:rPr>
        <w:t xml:space="preserve">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dat 2-místných kódů HS</w:t>
      </w:r>
      <w:r w:rsidR="00962443" w:rsidRPr="002B5558">
        <w:rPr>
          <w:rFonts w:cs="Arial"/>
          <w:i/>
          <w:sz w:val="22"/>
          <w:szCs w:val="22"/>
        </w:rPr>
        <w:t xml:space="preserve">. </w:t>
      </w:r>
      <w:r w:rsidR="000B6727" w:rsidRPr="002B5558">
        <w:rPr>
          <w:rFonts w:cs="Arial"/>
          <w:i/>
          <w:sz w:val="22"/>
          <w:szCs w:val="22"/>
        </w:rPr>
        <w:t xml:space="preserve">Vzhledem k tomu, že </w:t>
      </w:r>
      <w:r w:rsidR="0046493C" w:rsidRPr="002B5558">
        <w:rPr>
          <w:rFonts w:cs="Arial"/>
          <w:i/>
          <w:sz w:val="22"/>
          <w:szCs w:val="22"/>
        </w:rPr>
        <w:t xml:space="preserve">ČSÚ začal </w:t>
      </w:r>
      <w:r w:rsidR="00962443" w:rsidRPr="002B5558">
        <w:rPr>
          <w:rFonts w:cs="Arial"/>
          <w:i/>
          <w:sz w:val="22"/>
          <w:szCs w:val="22"/>
        </w:rPr>
        <w:t xml:space="preserve">v roce 2016 nově </w:t>
      </w:r>
      <w:r w:rsidR="0046493C" w:rsidRPr="002B5558">
        <w:rPr>
          <w:rFonts w:cs="Arial"/>
          <w:i/>
          <w:sz w:val="22"/>
          <w:szCs w:val="22"/>
        </w:rPr>
        <w:t xml:space="preserve">zveřejňovat data v množstevním </w:t>
      </w:r>
      <w:r w:rsidR="00962443" w:rsidRPr="002B5558">
        <w:rPr>
          <w:rFonts w:cs="Arial"/>
          <w:i/>
          <w:sz w:val="22"/>
          <w:szCs w:val="22"/>
        </w:rPr>
        <w:t>vyjádření i </w:t>
      </w:r>
      <w:r w:rsidR="0046493C" w:rsidRPr="002B5558">
        <w:rPr>
          <w:rFonts w:cs="Arial"/>
          <w:i/>
          <w:sz w:val="22"/>
          <w:szCs w:val="22"/>
        </w:rPr>
        <w:t xml:space="preserve">pro </w:t>
      </w:r>
      <w:r w:rsidR="008E5229" w:rsidRPr="002B5558">
        <w:rPr>
          <w:rFonts w:cs="Arial"/>
          <w:i/>
          <w:sz w:val="22"/>
          <w:szCs w:val="22"/>
        </w:rPr>
        <w:t xml:space="preserve">méně podrobné úrovně </w:t>
      </w:r>
      <w:r w:rsidR="0046493C" w:rsidRPr="002B5558">
        <w:rPr>
          <w:rFonts w:cs="Arial"/>
          <w:i/>
          <w:sz w:val="22"/>
          <w:szCs w:val="22"/>
        </w:rPr>
        <w:t>celní nomenklatury</w:t>
      </w:r>
      <w:r w:rsidR="008E5229" w:rsidRPr="002B5558">
        <w:rPr>
          <w:rFonts w:cs="Arial"/>
          <w:i/>
          <w:sz w:val="22"/>
          <w:szCs w:val="22"/>
        </w:rPr>
        <w:t>, ne</w:t>
      </w:r>
      <w:r w:rsidR="000B6727" w:rsidRPr="002B5558">
        <w:rPr>
          <w:rFonts w:cs="Arial"/>
          <w:i/>
          <w:sz w:val="22"/>
          <w:szCs w:val="22"/>
        </w:rPr>
        <w:t>žli</w:t>
      </w:r>
      <w:r w:rsidR="008E5229" w:rsidRPr="002B5558">
        <w:rPr>
          <w:rFonts w:cs="Arial"/>
          <w:i/>
          <w:sz w:val="22"/>
          <w:szCs w:val="22"/>
        </w:rPr>
        <w:t xml:space="preserve"> 8-místn</w:t>
      </w:r>
      <w:r w:rsidR="000B6727" w:rsidRPr="002B5558">
        <w:rPr>
          <w:rFonts w:cs="Arial"/>
          <w:i/>
          <w:sz w:val="22"/>
          <w:szCs w:val="22"/>
        </w:rPr>
        <w:t xml:space="preserve">é </w:t>
      </w:r>
      <w:r w:rsidR="008E5229" w:rsidRPr="002B5558">
        <w:rPr>
          <w:rFonts w:cs="Arial"/>
          <w:i/>
          <w:sz w:val="22"/>
          <w:szCs w:val="22"/>
        </w:rPr>
        <w:t>KN</w:t>
      </w:r>
      <w:r w:rsidR="00645A8A">
        <w:rPr>
          <w:rFonts w:cs="Arial"/>
          <w:i/>
          <w:sz w:val="22"/>
          <w:szCs w:val="22"/>
        </w:rPr>
        <w:t>, jedná se </w:t>
      </w:r>
      <w:r w:rsidR="009F67AD">
        <w:rPr>
          <w:rFonts w:cs="Arial"/>
          <w:i/>
          <w:sz w:val="22"/>
          <w:szCs w:val="22"/>
        </w:rPr>
        <w:t>o </w:t>
      </w:r>
      <w:r w:rsidR="000B6727" w:rsidRPr="002B5558">
        <w:rPr>
          <w:rFonts w:cs="Arial"/>
          <w:i/>
          <w:sz w:val="22"/>
          <w:szCs w:val="22"/>
        </w:rPr>
        <w:t>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B7244C"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432F30" w:rsidRPr="00432F30" w:rsidRDefault="00222BE8" w:rsidP="00881C67">
      <w:pPr>
        <w:spacing w:line="240" w:lineRule="auto"/>
        <w:ind w:firstLine="0"/>
        <w:rPr>
          <w:rFonts w:cs="Arial"/>
          <w:i/>
          <w:szCs w:val="16"/>
        </w:rPr>
      </w:pPr>
      <w:r w:rsidRPr="00222BE8">
        <w:rPr>
          <w:noProof/>
        </w:rPr>
        <w:drawing>
          <wp:inline distT="0" distB="0" distL="0" distR="0" wp14:anchorId="5DF55A97" wp14:editId="440DAB1D">
            <wp:extent cx="8496300" cy="4807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04153" cy="48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0A" w:rsidRDefault="00432F30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 xml:space="preserve">HS 2402 cigarety vč. doutníků a doutníčků, HS 1514 řepkový olej vč. hořčičného, HS 1905 pekařské zboží vč. sušenek a oplatek, </w:t>
      </w:r>
      <w:r w:rsidR="00641A38" w:rsidRPr="00EA3C0A">
        <w:rPr>
          <w:rFonts w:cs="Arial"/>
          <w:i/>
          <w:sz w:val="18"/>
          <w:szCs w:val="16"/>
        </w:rPr>
        <w:t>HS</w:t>
      </w:r>
      <w:r w:rsidR="00641A38">
        <w:rPr>
          <w:rFonts w:cs="Arial"/>
          <w:i/>
          <w:sz w:val="18"/>
          <w:szCs w:val="16"/>
        </w:rPr>
        <w:t> </w:t>
      </w:r>
      <w:r w:rsidR="00641A38" w:rsidRPr="00EA3C0A">
        <w:rPr>
          <w:rFonts w:cs="Arial"/>
          <w:i/>
          <w:sz w:val="18"/>
          <w:szCs w:val="16"/>
        </w:rPr>
        <w:t xml:space="preserve">2106 potravinové přípravky jiné </w:t>
      </w:r>
      <w:r w:rsidR="00641A38">
        <w:rPr>
          <w:rFonts w:cs="Arial"/>
          <w:i/>
          <w:sz w:val="18"/>
          <w:szCs w:val="16"/>
        </w:rPr>
        <w:t>a </w:t>
      </w:r>
      <w:r w:rsidR="00EA3C0A" w:rsidRPr="00EA3C0A">
        <w:rPr>
          <w:rFonts w:cs="Arial"/>
          <w:i/>
          <w:sz w:val="18"/>
          <w:szCs w:val="16"/>
        </w:rPr>
        <w:t xml:space="preserve">HS 0401 mléko </w:t>
      </w:r>
      <w:r w:rsidR="00641A38">
        <w:rPr>
          <w:rFonts w:cs="Arial"/>
          <w:i/>
          <w:sz w:val="18"/>
          <w:szCs w:val="16"/>
        </w:rPr>
        <w:t>a smetana pouze nezahuštěné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DE5C2E" w:rsidRDefault="00A01A55" w:rsidP="0019082B">
      <w:pPr>
        <w:ind w:firstLine="0"/>
        <w:contextualSpacing/>
        <w:rPr>
          <w:rFonts w:cs="Arial"/>
          <w:i/>
        </w:rPr>
      </w:pPr>
      <w:r w:rsidRPr="00A01A55">
        <w:rPr>
          <w:noProof/>
        </w:rPr>
        <w:drawing>
          <wp:inline distT="0" distB="0" distL="0" distR="0" wp14:anchorId="4F5A8350" wp14:editId="0E42AD5B">
            <wp:extent cx="8501814" cy="481012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16657" cy="481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 xml:space="preserve">HS 1905 pekařské zboží vč. sušenek a oplatek, </w:t>
      </w:r>
      <w:r w:rsidR="00641A38" w:rsidRPr="00EA3C0A">
        <w:rPr>
          <w:rFonts w:cs="Arial"/>
          <w:i/>
          <w:sz w:val="18"/>
          <w:szCs w:val="16"/>
        </w:rPr>
        <w:t xml:space="preserve">HS 2402 cigarety vč. doutníků a doutníčků </w:t>
      </w:r>
      <w:r w:rsidR="00641A38">
        <w:rPr>
          <w:rFonts w:cs="Arial"/>
          <w:i/>
          <w:sz w:val="18"/>
          <w:szCs w:val="16"/>
        </w:rPr>
        <w:t xml:space="preserve">a </w:t>
      </w:r>
      <w:r w:rsidR="00EA3C0A" w:rsidRPr="00EA3C0A">
        <w:rPr>
          <w:rFonts w:cs="Arial"/>
          <w:i/>
          <w:sz w:val="18"/>
          <w:szCs w:val="16"/>
        </w:rPr>
        <w:t>HS</w:t>
      </w:r>
      <w:r w:rsidR="00641A38">
        <w:rPr>
          <w:rFonts w:cs="Arial"/>
          <w:i/>
          <w:sz w:val="18"/>
          <w:szCs w:val="16"/>
        </w:rPr>
        <w:t xml:space="preserve"> 2106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222BE8">
        <w:rPr>
          <w:rFonts w:cs="Arial"/>
          <w:sz w:val="22"/>
          <w:szCs w:val="22"/>
        </w:rPr>
        <w:t>v roce 2011 až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DE5C2E" w:rsidRDefault="00A01A55" w:rsidP="002C5411">
      <w:pPr>
        <w:ind w:firstLine="0"/>
        <w:contextualSpacing/>
        <w:rPr>
          <w:rFonts w:cs="Arial"/>
          <w:i/>
          <w:szCs w:val="16"/>
        </w:rPr>
      </w:pPr>
      <w:r w:rsidRPr="00A01A55">
        <w:rPr>
          <w:noProof/>
        </w:rPr>
        <w:drawing>
          <wp:inline distT="0" distB="0" distL="0" distR="0" wp14:anchorId="089EA144" wp14:editId="72298963">
            <wp:extent cx="8477250" cy="4796227"/>
            <wp:effectExtent l="0" t="0" r="0" b="444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87150" cy="48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Pr="00DE5C2E" w:rsidRDefault="00DE5C2E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19</w:t>
      </w:r>
      <w:r w:rsidR="00EA3C0A">
        <w:rPr>
          <w:rFonts w:cs="Arial"/>
          <w:i/>
          <w:sz w:val="18"/>
          <w:szCs w:val="16"/>
        </w:rPr>
        <w:t>05 pekařské zboží vč. sušenek a </w:t>
      </w:r>
      <w:r w:rsidR="00EA3C0A" w:rsidRPr="00EA3C0A">
        <w:rPr>
          <w:rFonts w:cs="Arial"/>
          <w:i/>
          <w:sz w:val="18"/>
          <w:szCs w:val="16"/>
        </w:rPr>
        <w:t>oplatek</w:t>
      </w:r>
      <w:r w:rsidR="00641A38">
        <w:rPr>
          <w:rFonts w:cs="Arial"/>
          <w:i/>
          <w:sz w:val="18"/>
          <w:szCs w:val="16"/>
        </w:rPr>
        <w:t>, HS </w:t>
      </w:r>
      <w:r w:rsidR="00641A38" w:rsidRPr="00EA3C0A">
        <w:rPr>
          <w:rFonts w:cs="Arial"/>
          <w:i/>
          <w:sz w:val="18"/>
          <w:szCs w:val="16"/>
        </w:rPr>
        <w:t>04</w:t>
      </w:r>
      <w:r w:rsidR="00641A38">
        <w:rPr>
          <w:rFonts w:cs="Arial"/>
          <w:i/>
          <w:sz w:val="18"/>
          <w:szCs w:val="16"/>
        </w:rPr>
        <w:t>01 mléko a smetana nezahuštěné</w:t>
      </w:r>
      <w:r w:rsidR="00EA3C0A" w:rsidRPr="00EA3C0A">
        <w:rPr>
          <w:rFonts w:cs="Arial"/>
          <w:i/>
          <w:sz w:val="18"/>
          <w:szCs w:val="16"/>
        </w:rPr>
        <w:t xml:space="preserve"> a HS 2106 potravinové přípravky jiné.</w:t>
      </w:r>
    </w:p>
    <w:p w:rsidR="0019082B" w:rsidRPr="00DE5C2E" w:rsidRDefault="0019082B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lastRenderedPageBreak/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DE5C2E" w:rsidRDefault="00A01A55" w:rsidP="00651FFD">
      <w:pPr>
        <w:ind w:firstLine="0"/>
        <w:rPr>
          <w:rFonts w:cs="Arial"/>
          <w:i/>
          <w:szCs w:val="16"/>
        </w:rPr>
      </w:pPr>
      <w:r w:rsidRPr="00A01A55">
        <w:rPr>
          <w:noProof/>
        </w:rPr>
        <w:drawing>
          <wp:inline distT="0" distB="0" distL="0" distR="0" wp14:anchorId="03FA2942" wp14:editId="79275C80">
            <wp:extent cx="8486775" cy="480161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92271" cy="480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0A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564F56">
        <w:rPr>
          <w:rFonts w:cs="Arial"/>
          <w:i/>
          <w:sz w:val="18"/>
          <w:szCs w:val="16"/>
        </w:rPr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2402 cigarety vč. doutníků a doutníčků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lastRenderedPageBreak/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r w:rsidR="00AA6B1A" w:rsidRPr="002B5558">
        <w:rPr>
          <w:rFonts w:cs="Arial"/>
          <w:sz w:val="22"/>
          <w:szCs w:val="22"/>
          <w:u w:val="single"/>
        </w:rPr>
        <w:t>mimounijní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r w:rsidR="00AA6B1A" w:rsidRPr="002B5558">
        <w:rPr>
          <w:rFonts w:cs="Arial"/>
          <w:sz w:val="22"/>
          <w:szCs w:val="22"/>
        </w:rPr>
        <w:t>mimounijních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 w:rsidRPr="002B5558">
        <w:rPr>
          <w:rFonts w:cs="Arial"/>
          <w:sz w:val="22"/>
          <w:szCs w:val="22"/>
        </w:rPr>
        <w:t>2016</w:t>
      </w:r>
    </w:p>
    <w:p w:rsidR="00DE5C2E" w:rsidRDefault="00A01A55" w:rsidP="00B74C59">
      <w:pPr>
        <w:ind w:firstLine="0"/>
        <w:contextualSpacing/>
        <w:rPr>
          <w:rFonts w:cs="Arial"/>
          <w:i/>
        </w:rPr>
      </w:pPr>
      <w:r w:rsidRPr="00A01A55">
        <w:rPr>
          <w:noProof/>
        </w:rPr>
        <w:drawing>
          <wp:inline distT="0" distB="0" distL="0" distR="0" wp14:anchorId="280A5C9F" wp14:editId="4F722E64">
            <wp:extent cx="8486775" cy="4801616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4020" cy="481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EA3C0A" w:rsidRPr="00EA3C0A"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1302 pektiny vč. rostlinných šťáv a výtažků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r w:rsidR="00AA6B1A" w:rsidRPr="002B5558">
        <w:rPr>
          <w:rFonts w:cs="Arial"/>
          <w:sz w:val="22"/>
          <w:szCs w:val="22"/>
        </w:rPr>
        <w:t xml:space="preserve">mimounijních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>v roce 2011 až 2016</w:t>
      </w:r>
    </w:p>
    <w:p w:rsidR="00EA3C0A" w:rsidRDefault="004E7192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4E7192">
        <w:rPr>
          <w:noProof/>
        </w:rPr>
        <w:drawing>
          <wp:inline distT="0" distB="0" distL="0" distR="0" wp14:anchorId="75274850" wp14:editId="2E8E2F1A">
            <wp:extent cx="8496300" cy="48070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06891" cy="481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Pr="00DE5C2E">
        <w:rPr>
          <w:rFonts w:cs="Arial"/>
          <w:i/>
          <w:sz w:val="18"/>
          <w:szCs w:val="16"/>
        </w:rPr>
        <w:t>HS 2106 potravinové přípravky jiné, HS 0802 skořápkové ovoce bez kokosů, para a kešu ořechů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DE5C2E">
        <w:rPr>
          <w:rFonts w:cs="Arial"/>
          <w:i/>
          <w:sz w:val="18"/>
          <w:szCs w:val="16"/>
        </w:rPr>
        <w:t>HS 2401 tabák nezpr</w:t>
      </w:r>
      <w:r w:rsidR="00131199">
        <w:rPr>
          <w:rFonts w:cs="Arial"/>
          <w:i/>
          <w:sz w:val="18"/>
          <w:szCs w:val="16"/>
        </w:rPr>
        <w:t>acovaný</w:t>
      </w:r>
      <w:r w:rsidRPr="00DE5C2E">
        <w:rPr>
          <w:rFonts w:cs="Arial"/>
          <w:i/>
          <w:sz w:val="18"/>
          <w:szCs w:val="16"/>
        </w:rPr>
        <w:t>.</w:t>
      </w:r>
    </w:p>
    <w:p w:rsidR="006D1DB9" w:rsidRPr="00DE5C2E" w:rsidRDefault="006D1DB9" w:rsidP="00564F56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>Údaj o dovozu kávy v množstevním vyjádření ve 3. čtvrtletí roku 2016 je v databázi zřejmě chybný (způsoben nepřiměřeně vysokou hodnotou dovozu ze Švýcarska v červenci).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A01A55" w:rsidP="00354B6A">
      <w:pPr>
        <w:ind w:firstLine="0"/>
        <w:contextualSpacing/>
        <w:rPr>
          <w:rFonts w:cs="Arial"/>
          <w:i/>
          <w:szCs w:val="16"/>
        </w:rPr>
      </w:pPr>
      <w:r w:rsidRPr="00A01A55">
        <w:rPr>
          <w:noProof/>
        </w:rPr>
        <w:drawing>
          <wp:inline distT="0" distB="0" distL="0" distR="0" wp14:anchorId="55FDA004" wp14:editId="330E2C82">
            <wp:extent cx="5760720" cy="6969760"/>
            <wp:effectExtent l="0" t="0" r="0" b="254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6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 xml:space="preserve">podle </w:t>
      </w:r>
      <w:r w:rsidR="00C272D2">
        <w:rPr>
          <w:rFonts w:cs="Arial"/>
          <w:i/>
          <w:sz w:val="18"/>
          <w:szCs w:val="16"/>
        </w:rPr>
        <w:t>roku</w:t>
      </w:r>
      <w:r w:rsidR="00FB09A5" w:rsidRPr="00FB09A5">
        <w:rPr>
          <w:rFonts w:cs="Arial"/>
          <w:i/>
          <w:sz w:val="18"/>
          <w:szCs w:val="16"/>
        </w:rPr>
        <w:t xml:space="preserve"> 2016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A01A55">
        <w:rPr>
          <w:rFonts w:cs="Arial"/>
          <w:i/>
          <w:sz w:val="18"/>
          <w:szCs w:val="16"/>
        </w:rPr>
        <w:t>8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lastRenderedPageBreak/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  <w:r w:rsidR="00D96BCB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A01A55" w:rsidP="00FB09A5">
      <w:pPr>
        <w:ind w:firstLine="0"/>
        <w:contextualSpacing/>
        <w:rPr>
          <w:rFonts w:cs="Arial"/>
          <w:i/>
          <w:szCs w:val="16"/>
        </w:rPr>
      </w:pPr>
      <w:r w:rsidRPr="00A01A55">
        <w:rPr>
          <w:noProof/>
        </w:rPr>
        <w:drawing>
          <wp:inline distT="0" distB="0" distL="0" distR="0" wp14:anchorId="0962237F" wp14:editId="3BAFA2D2">
            <wp:extent cx="5760720" cy="701802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 xml:space="preserve">řazeno </w:t>
      </w:r>
      <w:r w:rsidR="00C272D2" w:rsidRPr="00FB09A5">
        <w:rPr>
          <w:rFonts w:cs="Arial"/>
          <w:i/>
          <w:sz w:val="18"/>
          <w:szCs w:val="16"/>
        </w:rPr>
        <w:t xml:space="preserve">podle </w:t>
      </w:r>
      <w:r w:rsidR="00C272D2">
        <w:rPr>
          <w:rFonts w:cs="Arial"/>
          <w:i/>
          <w:sz w:val="18"/>
          <w:szCs w:val="16"/>
        </w:rPr>
        <w:t>roku</w:t>
      </w:r>
      <w:r w:rsidR="00C272D2" w:rsidRPr="00FB09A5">
        <w:rPr>
          <w:rFonts w:cs="Arial"/>
          <w:i/>
          <w:sz w:val="18"/>
          <w:szCs w:val="16"/>
        </w:rPr>
        <w:t xml:space="preserve"> 2016.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96 %.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A01A55">
        <w:rPr>
          <w:rFonts w:cs="Arial"/>
          <w:i/>
          <w:sz w:val="18"/>
          <w:szCs w:val="16"/>
        </w:rPr>
        <w:t>únor 2017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C5" w:rsidRDefault="00A633C5" w:rsidP="000906F6">
      <w:pPr>
        <w:spacing w:before="0" w:line="240" w:lineRule="auto"/>
      </w:pPr>
      <w:r>
        <w:separator/>
      </w:r>
    </w:p>
  </w:endnote>
  <w:endnote w:type="continuationSeparator" w:id="0">
    <w:p w:rsidR="00A633C5" w:rsidRDefault="00A633C5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2C7194">
      <w:rPr>
        <w:rFonts w:ascii="Times New Roman" w:hAnsi="Times New Roman"/>
        <w:noProof/>
      </w:rPr>
      <w:t>14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C5" w:rsidRDefault="00A633C5" w:rsidP="000906F6">
      <w:pPr>
        <w:spacing w:before="0" w:line="240" w:lineRule="auto"/>
      </w:pPr>
      <w:r>
        <w:separator/>
      </w:r>
    </w:p>
  </w:footnote>
  <w:footnote w:type="continuationSeparator" w:id="0">
    <w:p w:rsidR="00A633C5" w:rsidRDefault="00A633C5" w:rsidP="000906F6">
      <w:pPr>
        <w:spacing w:before="0" w:line="240" w:lineRule="auto"/>
      </w:pPr>
      <w:r>
        <w:continuationSeparator/>
      </w:r>
    </w:p>
  </w:footnote>
  <w:footnote w:id="1">
    <w:p w:rsidR="00C83E71" w:rsidRDefault="00C83E71">
      <w:pPr>
        <w:pStyle w:val="Textpoznpodarou"/>
      </w:pPr>
      <w:r>
        <w:rPr>
          <w:rStyle w:val="Znakapoznpodarou"/>
        </w:rPr>
        <w:footnoteRef/>
      </w:r>
      <w:r>
        <w:t xml:space="preserve">    Vymezené kapitolami 1 až 24 celního sazebníku.</w:t>
      </w:r>
    </w:p>
  </w:footnote>
  <w:footnote w:id="2">
    <w:p w:rsidR="008B6E2E" w:rsidRDefault="008B6E2E" w:rsidP="0027041E">
      <w:pPr>
        <w:pStyle w:val="Textpoznpodarou"/>
        <w:ind w:left="851" w:hanging="284"/>
      </w:pPr>
      <w:r>
        <w:rPr>
          <w:rStyle w:val="Znakapoznpodarou"/>
        </w:rPr>
        <w:footnoteRef/>
      </w:r>
      <w:r>
        <w:t xml:space="preserve"> </w:t>
      </w:r>
      <w:r w:rsidR="00D212E6">
        <w:t xml:space="preserve">  </w:t>
      </w:r>
      <w:r>
        <w:t>Bez zahrnutí tabáku a tabákových výrobků se hodnota českého agrárního vývozu dokonce nepatrně snížila (o 1,2 %), zatím</w:t>
      </w:r>
      <w:r w:rsidR="004074BD">
        <w:t>co</w:t>
      </w:r>
      <w:r>
        <w:t xml:space="preserve"> v případě dovozu se navýšila (o 1,0 %).  </w:t>
      </w:r>
    </w:p>
  </w:footnote>
  <w:footnote w:id="3">
    <w:p w:rsidR="00D212E6" w:rsidRDefault="00D212E6" w:rsidP="0027041E">
      <w:pPr>
        <w:pStyle w:val="Textpoznpodarou"/>
        <w:ind w:left="851" w:hanging="284"/>
      </w:pPr>
      <w:r>
        <w:rPr>
          <w:rStyle w:val="Znakapoznpodarou"/>
        </w:rPr>
        <w:footnoteRef/>
      </w:r>
      <w:r>
        <w:t xml:space="preserve">   Podíl na straně vývozu dosahuje 92 % a na straně dovozu činí 85 %</w:t>
      </w:r>
      <w:r w:rsidR="00B65F76">
        <w:t xml:space="preserve"> (uvažujeme-li dovoz dle zemí původu, nikoliv odeslání)</w:t>
      </w:r>
      <w:r>
        <w:t>, přičemž v posledních letech se téměř neměnil.</w:t>
      </w:r>
    </w:p>
  </w:footnote>
  <w:footnote w:id="4">
    <w:p w:rsidR="00A9539E" w:rsidRPr="00A9539E" w:rsidRDefault="00A9539E" w:rsidP="0027041E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A9539E">
        <w:rPr>
          <w:rStyle w:val="Znakapoznpodarou"/>
          <w:vertAlign w:val="baseline"/>
        </w:rPr>
        <w:t>Řazeno</w:t>
      </w:r>
      <w:r>
        <w:t xml:space="preserve"> dle hodnot</w:t>
      </w:r>
      <w:r w:rsidR="00BA479E">
        <w:t>y vývozu ve f</w:t>
      </w:r>
      <w:r w:rsidR="00D212E6">
        <w:t>inančním vyjádření</w:t>
      </w:r>
      <w:r w:rsidR="008F474F">
        <w:t>,</w:t>
      </w:r>
      <w:r w:rsidR="00D212E6">
        <w:t xml:space="preserve"> a to </w:t>
      </w:r>
      <w:r w:rsidR="008F474F">
        <w:t xml:space="preserve">na základě </w:t>
      </w:r>
      <w:r w:rsidR="00D212E6">
        <w:t xml:space="preserve">4-místných, </w:t>
      </w:r>
      <w:r w:rsidR="00BA479E">
        <w:t>ale i podrobnějších kódů celní nomenklatury.</w:t>
      </w:r>
    </w:p>
  </w:footnote>
  <w:footnote w:id="5">
    <w:p w:rsidR="00F23A3C" w:rsidRDefault="00F23A3C" w:rsidP="00F23A3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Řepkový olej vymezený kódy HS 1514 11 a 19, tj. s nízkým obsahem kyseliny erukové.</w:t>
      </w:r>
    </w:p>
  </w:footnote>
  <w:footnote w:id="6">
    <w:p w:rsidR="00F23A3C" w:rsidRDefault="00F23A3C" w:rsidP="00F23A3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Potravinové přípravky jiné, </w:t>
      </w:r>
      <w:r w:rsidR="00342F7C">
        <w:t>v </w:t>
      </w:r>
      <w:r>
        <w:t>celní</w:t>
      </w:r>
      <w:r w:rsidR="00342F7C">
        <w:t>m</w:t>
      </w:r>
      <w:r>
        <w:t xml:space="preserve"> sazebníku </w:t>
      </w:r>
      <w:r w:rsidR="00342F7C">
        <w:t>pod kódem</w:t>
      </w:r>
      <w:r>
        <w:t xml:space="preserve"> HS 2106.</w:t>
      </w:r>
    </w:p>
  </w:footnote>
  <w:footnote w:id="7">
    <w:p w:rsidR="00F23A3C" w:rsidRDefault="00F23A3C" w:rsidP="0027041E">
      <w:pPr>
        <w:pStyle w:val="Textpoznpodarou"/>
        <w:tabs>
          <w:tab w:val="left" w:pos="851"/>
        </w:tabs>
        <w:ind w:left="851" w:hanging="284"/>
      </w:pPr>
      <w:r>
        <w:rPr>
          <w:rStyle w:val="Znakapoznpodarou"/>
        </w:rPr>
        <w:footnoteRef/>
      </w:r>
      <w:r>
        <w:t xml:space="preserve"> </w:t>
      </w:r>
      <w:r>
        <w:tab/>
        <w:t>Surové mléko vymezeno přibližně položkou KN 0401 20 99 „mléko s obsahem tuku převyšující 3 % a nepřevyšující 6 % v balení nad 2 litry“.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1D19"/>
    <w:rsid w:val="0000225A"/>
    <w:rsid w:val="0000262E"/>
    <w:rsid w:val="00012465"/>
    <w:rsid w:val="00015384"/>
    <w:rsid w:val="0001593B"/>
    <w:rsid w:val="000178C3"/>
    <w:rsid w:val="00017E64"/>
    <w:rsid w:val="00020B12"/>
    <w:rsid w:val="0002116E"/>
    <w:rsid w:val="00021C95"/>
    <w:rsid w:val="00021F90"/>
    <w:rsid w:val="00023B2E"/>
    <w:rsid w:val="00036F3F"/>
    <w:rsid w:val="000405A6"/>
    <w:rsid w:val="00042034"/>
    <w:rsid w:val="000451A3"/>
    <w:rsid w:val="00047A99"/>
    <w:rsid w:val="00057131"/>
    <w:rsid w:val="00057539"/>
    <w:rsid w:val="00067080"/>
    <w:rsid w:val="000755D4"/>
    <w:rsid w:val="00077B34"/>
    <w:rsid w:val="00083C16"/>
    <w:rsid w:val="000854E7"/>
    <w:rsid w:val="000906F6"/>
    <w:rsid w:val="00090DFE"/>
    <w:rsid w:val="000912B2"/>
    <w:rsid w:val="00091961"/>
    <w:rsid w:val="00093CFB"/>
    <w:rsid w:val="00094CD3"/>
    <w:rsid w:val="000A435D"/>
    <w:rsid w:val="000A6F82"/>
    <w:rsid w:val="000A7C0A"/>
    <w:rsid w:val="000B39E7"/>
    <w:rsid w:val="000B584D"/>
    <w:rsid w:val="000B6727"/>
    <w:rsid w:val="000C6D34"/>
    <w:rsid w:val="000D1ACC"/>
    <w:rsid w:val="000D7DD3"/>
    <w:rsid w:val="000E4FB5"/>
    <w:rsid w:val="000E5873"/>
    <w:rsid w:val="000F3C74"/>
    <w:rsid w:val="000F5E2F"/>
    <w:rsid w:val="001037E3"/>
    <w:rsid w:val="00105028"/>
    <w:rsid w:val="00112DC1"/>
    <w:rsid w:val="00115590"/>
    <w:rsid w:val="0012578C"/>
    <w:rsid w:val="001306A8"/>
    <w:rsid w:val="00130E49"/>
    <w:rsid w:val="00131199"/>
    <w:rsid w:val="001316B0"/>
    <w:rsid w:val="001327EA"/>
    <w:rsid w:val="00134CD1"/>
    <w:rsid w:val="00157E27"/>
    <w:rsid w:val="0016389E"/>
    <w:rsid w:val="00163AB9"/>
    <w:rsid w:val="0016536D"/>
    <w:rsid w:val="00166FC5"/>
    <w:rsid w:val="00166FE1"/>
    <w:rsid w:val="00171B4A"/>
    <w:rsid w:val="00175BA3"/>
    <w:rsid w:val="00180C7B"/>
    <w:rsid w:val="001855F2"/>
    <w:rsid w:val="00185CD8"/>
    <w:rsid w:val="0019082B"/>
    <w:rsid w:val="00192F48"/>
    <w:rsid w:val="001938C1"/>
    <w:rsid w:val="0019579D"/>
    <w:rsid w:val="00197190"/>
    <w:rsid w:val="001A1D9F"/>
    <w:rsid w:val="001A3298"/>
    <w:rsid w:val="001A494A"/>
    <w:rsid w:val="001A7C8B"/>
    <w:rsid w:val="001B1B58"/>
    <w:rsid w:val="001B21AB"/>
    <w:rsid w:val="001B5DB6"/>
    <w:rsid w:val="001C2D3E"/>
    <w:rsid w:val="001C35DC"/>
    <w:rsid w:val="001C3BD1"/>
    <w:rsid w:val="001C6935"/>
    <w:rsid w:val="001C6FD6"/>
    <w:rsid w:val="001C7D89"/>
    <w:rsid w:val="001D2634"/>
    <w:rsid w:val="001D44D0"/>
    <w:rsid w:val="001E0765"/>
    <w:rsid w:val="001E4BEE"/>
    <w:rsid w:val="001E61C8"/>
    <w:rsid w:val="001F52E3"/>
    <w:rsid w:val="001F78EF"/>
    <w:rsid w:val="002023E0"/>
    <w:rsid w:val="002067EB"/>
    <w:rsid w:val="00212B8D"/>
    <w:rsid w:val="00212BA3"/>
    <w:rsid w:val="002163B2"/>
    <w:rsid w:val="0021664B"/>
    <w:rsid w:val="002176B6"/>
    <w:rsid w:val="00222BE8"/>
    <w:rsid w:val="0022319B"/>
    <w:rsid w:val="002256BA"/>
    <w:rsid w:val="00226358"/>
    <w:rsid w:val="00227377"/>
    <w:rsid w:val="00230130"/>
    <w:rsid w:val="00231B27"/>
    <w:rsid w:val="0023366C"/>
    <w:rsid w:val="00240EAD"/>
    <w:rsid w:val="00245572"/>
    <w:rsid w:val="00246FB0"/>
    <w:rsid w:val="0025454B"/>
    <w:rsid w:val="00254911"/>
    <w:rsid w:val="002648AF"/>
    <w:rsid w:val="00265FA2"/>
    <w:rsid w:val="00266532"/>
    <w:rsid w:val="00266BF5"/>
    <w:rsid w:val="00267933"/>
    <w:rsid w:val="00267ECB"/>
    <w:rsid w:val="0027041E"/>
    <w:rsid w:val="002715D5"/>
    <w:rsid w:val="00271C45"/>
    <w:rsid w:val="002734B5"/>
    <w:rsid w:val="00273FDF"/>
    <w:rsid w:val="00275DF4"/>
    <w:rsid w:val="00277BD7"/>
    <w:rsid w:val="002800AB"/>
    <w:rsid w:val="00280ED5"/>
    <w:rsid w:val="00284233"/>
    <w:rsid w:val="00286A80"/>
    <w:rsid w:val="002A0BBA"/>
    <w:rsid w:val="002B5558"/>
    <w:rsid w:val="002B7757"/>
    <w:rsid w:val="002C41F1"/>
    <w:rsid w:val="002C42C4"/>
    <w:rsid w:val="002C5411"/>
    <w:rsid w:val="002C7194"/>
    <w:rsid w:val="002C7DE0"/>
    <w:rsid w:val="002D07D5"/>
    <w:rsid w:val="002D4587"/>
    <w:rsid w:val="002D518B"/>
    <w:rsid w:val="002D674A"/>
    <w:rsid w:val="002E4E29"/>
    <w:rsid w:val="002E580F"/>
    <w:rsid w:val="002E5D2F"/>
    <w:rsid w:val="002F07F0"/>
    <w:rsid w:val="002F21B2"/>
    <w:rsid w:val="002F2A38"/>
    <w:rsid w:val="002F3F6E"/>
    <w:rsid w:val="00304F51"/>
    <w:rsid w:val="00305265"/>
    <w:rsid w:val="00311A5D"/>
    <w:rsid w:val="00315558"/>
    <w:rsid w:val="003218A7"/>
    <w:rsid w:val="0032311C"/>
    <w:rsid w:val="00326F98"/>
    <w:rsid w:val="0033206D"/>
    <w:rsid w:val="003411BA"/>
    <w:rsid w:val="003412D2"/>
    <w:rsid w:val="003414AE"/>
    <w:rsid w:val="00342F7C"/>
    <w:rsid w:val="003436B5"/>
    <w:rsid w:val="003463A9"/>
    <w:rsid w:val="0035008C"/>
    <w:rsid w:val="003524CB"/>
    <w:rsid w:val="003532D0"/>
    <w:rsid w:val="00354B6A"/>
    <w:rsid w:val="00360245"/>
    <w:rsid w:val="003608E0"/>
    <w:rsid w:val="003624E1"/>
    <w:rsid w:val="00374D1C"/>
    <w:rsid w:val="00376C90"/>
    <w:rsid w:val="0038000E"/>
    <w:rsid w:val="00380434"/>
    <w:rsid w:val="00380481"/>
    <w:rsid w:val="00383897"/>
    <w:rsid w:val="00386137"/>
    <w:rsid w:val="00391A38"/>
    <w:rsid w:val="00392FDF"/>
    <w:rsid w:val="00397AD2"/>
    <w:rsid w:val="003A0FF2"/>
    <w:rsid w:val="003A2D08"/>
    <w:rsid w:val="003A38FC"/>
    <w:rsid w:val="003A5DFA"/>
    <w:rsid w:val="003A69B1"/>
    <w:rsid w:val="003B0178"/>
    <w:rsid w:val="003B0E8F"/>
    <w:rsid w:val="003B5F62"/>
    <w:rsid w:val="003D2164"/>
    <w:rsid w:val="003D4660"/>
    <w:rsid w:val="003D6507"/>
    <w:rsid w:val="003E0314"/>
    <w:rsid w:val="003E2194"/>
    <w:rsid w:val="003E29A9"/>
    <w:rsid w:val="003E3567"/>
    <w:rsid w:val="003E5E98"/>
    <w:rsid w:val="003E7182"/>
    <w:rsid w:val="003F152D"/>
    <w:rsid w:val="00403A73"/>
    <w:rsid w:val="004074BD"/>
    <w:rsid w:val="004147EA"/>
    <w:rsid w:val="00415DA8"/>
    <w:rsid w:val="00416315"/>
    <w:rsid w:val="00416B57"/>
    <w:rsid w:val="00426EDB"/>
    <w:rsid w:val="00431469"/>
    <w:rsid w:val="00432F30"/>
    <w:rsid w:val="00433A62"/>
    <w:rsid w:val="004362AE"/>
    <w:rsid w:val="00441083"/>
    <w:rsid w:val="00444E2A"/>
    <w:rsid w:val="0045594A"/>
    <w:rsid w:val="004568AC"/>
    <w:rsid w:val="00460D34"/>
    <w:rsid w:val="0046493C"/>
    <w:rsid w:val="00465398"/>
    <w:rsid w:val="00466EC2"/>
    <w:rsid w:val="004700A7"/>
    <w:rsid w:val="00472CF9"/>
    <w:rsid w:val="00472EF2"/>
    <w:rsid w:val="00473562"/>
    <w:rsid w:val="004802BF"/>
    <w:rsid w:val="004837AB"/>
    <w:rsid w:val="00485BB7"/>
    <w:rsid w:val="00486376"/>
    <w:rsid w:val="00486F2F"/>
    <w:rsid w:val="00490644"/>
    <w:rsid w:val="00494425"/>
    <w:rsid w:val="004A0499"/>
    <w:rsid w:val="004A0DF7"/>
    <w:rsid w:val="004A38B8"/>
    <w:rsid w:val="004A5EC4"/>
    <w:rsid w:val="004B0233"/>
    <w:rsid w:val="004B3F1F"/>
    <w:rsid w:val="004B3F60"/>
    <w:rsid w:val="004B53EB"/>
    <w:rsid w:val="004C2508"/>
    <w:rsid w:val="004C312A"/>
    <w:rsid w:val="004C3159"/>
    <w:rsid w:val="004C3A00"/>
    <w:rsid w:val="004C434A"/>
    <w:rsid w:val="004C4357"/>
    <w:rsid w:val="004C5BB7"/>
    <w:rsid w:val="004C7A63"/>
    <w:rsid w:val="004D46A6"/>
    <w:rsid w:val="004E003B"/>
    <w:rsid w:val="004E4A90"/>
    <w:rsid w:val="004E7192"/>
    <w:rsid w:val="004F177A"/>
    <w:rsid w:val="004F28AB"/>
    <w:rsid w:val="00503F24"/>
    <w:rsid w:val="00510EA3"/>
    <w:rsid w:val="00510F65"/>
    <w:rsid w:val="00514110"/>
    <w:rsid w:val="0051583C"/>
    <w:rsid w:val="00517D6C"/>
    <w:rsid w:val="00524F21"/>
    <w:rsid w:val="005265A5"/>
    <w:rsid w:val="0053314A"/>
    <w:rsid w:val="00533EA8"/>
    <w:rsid w:val="00534651"/>
    <w:rsid w:val="00536165"/>
    <w:rsid w:val="00553877"/>
    <w:rsid w:val="00554821"/>
    <w:rsid w:val="00554B18"/>
    <w:rsid w:val="00561F39"/>
    <w:rsid w:val="00564F56"/>
    <w:rsid w:val="0056515A"/>
    <w:rsid w:val="00574C89"/>
    <w:rsid w:val="00575C18"/>
    <w:rsid w:val="0058033C"/>
    <w:rsid w:val="0058340E"/>
    <w:rsid w:val="00587269"/>
    <w:rsid w:val="005A263A"/>
    <w:rsid w:val="005A6AF6"/>
    <w:rsid w:val="005B0D28"/>
    <w:rsid w:val="005B1603"/>
    <w:rsid w:val="005B310E"/>
    <w:rsid w:val="005B3BBB"/>
    <w:rsid w:val="005B52F4"/>
    <w:rsid w:val="005B563E"/>
    <w:rsid w:val="005C516A"/>
    <w:rsid w:val="005D0721"/>
    <w:rsid w:val="005D3A5C"/>
    <w:rsid w:val="005D3DFC"/>
    <w:rsid w:val="005D4755"/>
    <w:rsid w:val="005D4AE7"/>
    <w:rsid w:val="005D4BBA"/>
    <w:rsid w:val="005E29A1"/>
    <w:rsid w:val="005E51D9"/>
    <w:rsid w:val="005E72EC"/>
    <w:rsid w:val="005F2548"/>
    <w:rsid w:val="005F2A0A"/>
    <w:rsid w:val="005F3529"/>
    <w:rsid w:val="00600729"/>
    <w:rsid w:val="006010CB"/>
    <w:rsid w:val="00605422"/>
    <w:rsid w:val="0060637E"/>
    <w:rsid w:val="00610B4B"/>
    <w:rsid w:val="0061201D"/>
    <w:rsid w:val="00613D98"/>
    <w:rsid w:val="00623D3B"/>
    <w:rsid w:val="00641A38"/>
    <w:rsid w:val="00643A2F"/>
    <w:rsid w:val="0064479A"/>
    <w:rsid w:val="00645A8A"/>
    <w:rsid w:val="00650B24"/>
    <w:rsid w:val="00651FFD"/>
    <w:rsid w:val="006546D5"/>
    <w:rsid w:val="0065483E"/>
    <w:rsid w:val="006651E9"/>
    <w:rsid w:val="006725CE"/>
    <w:rsid w:val="00672637"/>
    <w:rsid w:val="006728B4"/>
    <w:rsid w:val="006A2A53"/>
    <w:rsid w:val="006A3C42"/>
    <w:rsid w:val="006B0179"/>
    <w:rsid w:val="006B45E8"/>
    <w:rsid w:val="006C4852"/>
    <w:rsid w:val="006C59DA"/>
    <w:rsid w:val="006C62BF"/>
    <w:rsid w:val="006D1813"/>
    <w:rsid w:val="006D1DB9"/>
    <w:rsid w:val="006D5E8C"/>
    <w:rsid w:val="006D6AEF"/>
    <w:rsid w:val="006E0A2F"/>
    <w:rsid w:val="006E3056"/>
    <w:rsid w:val="006E6E53"/>
    <w:rsid w:val="006F04A5"/>
    <w:rsid w:val="006F1CE6"/>
    <w:rsid w:val="006F263B"/>
    <w:rsid w:val="006F27F7"/>
    <w:rsid w:val="006F2EFD"/>
    <w:rsid w:val="00712B03"/>
    <w:rsid w:val="00715A37"/>
    <w:rsid w:val="0072747B"/>
    <w:rsid w:val="00727A78"/>
    <w:rsid w:val="00730511"/>
    <w:rsid w:val="007337A6"/>
    <w:rsid w:val="00734D4F"/>
    <w:rsid w:val="00735181"/>
    <w:rsid w:val="00747AD9"/>
    <w:rsid w:val="0075332A"/>
    <w:rsid w:val="00762405"/>
    <w:rsid w:val="00767E09"/>
    <w:rsid w:val="00770902"/>
    <w:rsid w:val="007740A1"/>
    <w:rsid w:val="007852CC"/>
    <w:rsid w:val="00786370"/>
    <w:rsid w:val="00793D56"/>
    <w:rsid w:val="007941E6"/>
    <w:rsid w:val="007A140F"/>
    <w:rsid w:val="007A15B6"/>
    <w:rsid w:val="007A432A"/>
    <w:rsid w:val="007B373B"/>
    <w:rsid w:val="007B43C8"/>
    <w:rsid w:val="007B4DB2"/>
    <w:rsid w:val="007C64F1"/>
    <w:rsid w:val="007C6EDE"/>
    <w:rsid w:val="007C7061"/>
    <w:rsid w:val="007D34AC"/>
    <w:rsid w:val="007D3894"/>
    <w:rsid w:val="007E03F5"/>
    <w:rsid w:val="007E5715"/>
    <w:rsid w:val="007E6D66"/>
    <w:rsid w:val="007F6478"/>
    <w:rsid w:val="007F73F2"/>
    <w:rsid w:val="00800905"/>
    <w:rsid w:val="008031E0"/>
    <w:rsid w:val="00804906"/>
    <w:rsid w:val="0080736C"/>
    <w:rsid w:val="008102FC"/>
    <w:rsid w:val="008123D7"/>
    <w:rsid w:val="008175A6"/>
    <w:rsid w:val="00817901"/>
    <w:rsid w:val="0082044D"/>
    <w:rsid w:val="00830E97"/>
    <w:rsid w:val="008327EE"/>
    <w:rsid w:val="00836AB0"/>
    <w:rsid w:val="0084115C"/>
    <w:rsid w:val="00841D11"/>
    <w:rsid w:val="00843FD6"/>
    <w:rsid w:val="008461CA"/>
    <w:rsid w:val="0084701A"/>
    <w:rsid w:val="008534AD"/>
    <w:rsid w:val="00855733"/>
    <w:rsid w:val="008632E5"/>
    <w:rsid w:val="00866BFC"/>
    <w:rsid w:val="00872891"/>
    <w:rsid w:val="008777B5"/>
    <w:rsid w:val="00877811"/>
    <w:rsid w:val="008818B5"/>
    <w:rsid w:val="00881C67"/>
    <w:rsid w:val="008902B8"/>
    <w:rsid w:val="00891880"/>
    <w:rsid w:val="008920F3"/>
    <w:rsid w:val="008933D9"/>
    <w:rsid w:val="00893875"/>
    <w:rsid w:val="0089458A"/>
    <w:rsid w:val="00896240"/>
    <w:rsid w:val="00896822"/>
    <w:rsid w:val="008A6280"/>
    <w:rsid w:val="008A7827"/>
    <w:rsid w:val="008B1023"/>
    <w:rsid w:val="008B6E2E"/>
    <w:rsid w:val="008C4045"/>
    <w:rsid w:val="008C6207"/>
    <w:rsid w:val="008D0811"/>
    <w:rsid w:val="008D2C41"/>
    <w:rsid w:val="008D2C52"/>
    <w:rsid w:val="008D697C"/>
    <w:rsid w:val="008D72E7"/>
    <w:rsid w:val="008E1064"/>
    <w:rsid w:val="008E2BA8"/>
    <w:rsid w:val="008E2CCD"/>
    <w:rsid w:val="008E421B"/>
    <w:rsid w:val="008E4A7D"/>
    <w:rsid w:val="008E5229"/>
    <w:rsid w:val="008F474F"/>
    <w:rsid w:val="008F4813"/>
    <w:rsid w:val="008F60BD"/>
    <w:rsid w:val="008F7C02"/>
    <w:rsid w:val="00901061"/>
    <w:rsid w:val="009174B0"/>
    <w:rsid w:val="00920E10"/>
    <w:rsid w:val="009264B9"/>
    <w:rsid w:val="00931D6E"/>
    <w:rsid w:val="009325FB"/>
    <w:rsid w:val="00933651"/>
    <w:rsid w:val="00933A2F"/>
    <w:rsid w:val="00933B5E"/>
    <w:rsid w:val="009343C3"/>
    <w:rsid w:val="0093605A"/>
    <w:rsid w:val="0094248E"/>
    <w:rsid w:val="0094251D"/>
    <w:rsid w:val="00944E2B"/>
    <w:rsid w:val="00944FD1"/>
    <w:rsid w:val="0094630F"/>
    <w:rsid w:val="009464A1"/>
    <w:rsid w:val="00947D21"/>
    <w:rsid w:val="00962443"/>
    <w:rsid w:val="009628B0"/>
    <w:rsid w:val="009630CA"/>
    <w:rsid w:val="00963D57"/>
    <w:rsid w:val="00970806"/>
    <w:rsid w:val="00971966"/>
    <w:rsid w:val="009801FB"/>
    <w:rsid w:val="0098101B"/>
    <w:rsid w:val="00981251"/>
    <w:rsid w:val="009815F5"/>
    <w:rsid w:val="0098367A"/>
    <w:rsid w:val="00991115"/>
    <w:rsid w:val="00991236"/>
    <w:rsid w:val="00996112"/>
    <w:rsid w:val="009A01A0"/>
    <w:rsid w:val="009A0E7E"/>
    <w:rsid w:val="009A453C"/>
    <w:rsid w:val="009B0700"/>
    <w:rsid w:val="009B4E71"/>
    <w:rsid w:val="009B642B"/>
    <w:rsid w:val="009B6D49"/>
    <w:rsid w:val="009C5DA2"/>
    <w:rsid w:val="009C5F05"/>
    <w:rsid w:val="009C6D93"/>
    <w:rsid w:val="009D2BF4"/>
    <w:rsid w:val="009D62B6"/>
    <w:rsid w:val="009D6A08"/>
    <w:rsid w:val="009D7B66"/>
    <w:rsid w:val="009E1C62"/>
    <w:rsid w:val="009E6607"/>
    <w:rsid w:val="009E759D"/>
    <w:rsid w:val="009F0BFC"/>
    <w:rsid w:val="009F0C00"/>
    <w:rsid w:val="009F1841"/>
    <w:rsid w:val="009F67AD"/>
    <w:rsid w:val="00A01A55"/>
    <w:rsid w:val="00A167EC"/>
    <w:rsid w:val="00A16B11"/>
    <w:rsid w:val="00A21355"/>
    <w:rsid w:val="00A23101"/>
    <w:rsid w:val="00A242DA"/>
    <w:rsid w:val="00A32827"/>
    <w:rsid w:val="00A35C50"/>
    <w:rsid w:val="00A36D7A"/>
    <w:rsid w:val="00A37B8E"/>
    <w:rsid w:val="00A46D98"/>
    <w:rsid w:val="00A5714F"/>
    <w:rsid w:val="00A633C5"/>
    <w:rsid w:val="00A671F7"/>
    <w:rsid w:val="00A6743C"/>
    <w:rsid w:val="00A70374"/>
    <w:rsid w:val="00A730E1"/>
    <w:rsid w:val="00A740A1"/>
    <w:rsid w:val="00A750AA"/>
    <w:rsid w:val="00A75A0E"/>
    <w:rsid w:val="00A76E0A"/>
    <w:rsid w:val="00A80CD8"/>
    <w:rsid w:val="00A8351D"/>
    <w:rsid w:val="00A8570E"/>
    <w:rsid w:val="00A919C1"/>
    <w:rsid w:val="00A9539E"/>
    <w:rsid w:val="00A9720B"/>
    <w:rsid w:val="00AA0571"/>
    <w:rsid w:val="00AA6B1A"/>
    <w:rsid w:val="00AB19B2"/>
    <w:rsid w:val="00AB3A69"/>
    <w:rsid w:val="00AC7FE4"/>
    <w:rsid w:val="00AD1108"/>
    <w:rsid w:val="00AD7549"/>
    <w:rsid w:val="00AD7AFE"/>
    <w:rsid w:val="00AE3624"/>
    <w:rsid w:val="00AE3FE1"/>
    <w:rsid w:val="00AE5685"/>
    <w:rsid w:val="00AE6AB1"/>
    <w:rsid w:val="00B00226"/>
    <w:rsid w:val="00B011ED"/>
    <w:rsid w:val="00B035F7"/>
    <w:rsid w:val="00B049E9"/>
    <w:rsid w:val="00B060EE"/>
    <w:rsid w:val="00B13EB4"/>
    <w:rsid w:val="00B176E3"/>
    <w:rsid w:val="00B20165"/>
    <w:rsid w:val="00B23FC7"/>
    <w:rsid w:val="00B25605"/>
    <w:rsid w:val="00B365C1"/>
    <w:rsid w:val="00B456B4"/>
    <w:rsid w:val="00B457EC"/>
    <w:rsid w:val="00B53D71"/>
    <w:rsid w:val="00B556E5"/>
    <w:rsid w:val="00B614A6"/>
    <w:rsid w:val="00B65654"/>
    <w:rsid w:val="00B65F76"/>
    <w:rsid w:val="00B7244C"/>
    <w:rsid w:val="00B7410C"/>
    <w:rsid w:val="00B74C59"/>
    <w:rsid w:val="00B81D1B"/>
    <w:rsid w:val="00B82715"/>
    <w:rsid w:val="00B85099"/>
    <w:rsid w:val="00B85216"/>
    <w:rsid w:val="00B85D60"/>
    <w:rsid w:val="00B86CFA"/>
    <w:rsid w:val="00B907F2"/>
    <w:rsid w:val="00B93CE9"/>
    <w:rsid w:val="00B9769F"/>
    <w:rsid w:val="00BA11D6"/>
    <w:rsid w:val="00BA479E"/>
    <w:rsid w:val="00BA4EB1"/>
    <w:rsid w:val="00BA7ED1"/>
    <w:rsid w:val="00BB2045"/>
    <w:rsid w:val="00BB39E5"/>
    <w:rsid w:val="00BC01D2"/>
    <w:rsid w:val="00BC4485"/>
    <w:rsid w:val="00BD096E"/>
    <w:rsid w:val="00BD2731"/>
    <w:rsid w:val="00BD2FCB"/>
    <w:rsid w:val="00BD3A85"/>
    <w:rsid w:val="00BD3E86"/>
    <w:rsid w:val="00BD597A"/>
    <w:rsid w:val="00BE1521"/>
    <w:rsid w:val="00BE41EB"/>
    <w:rsid w:val="00BE53F1"/>
    <w:rsid w:val="00BE619F"/>
    <w:rsid w:val="00BE67C4"/>
    <w:rsid w:val="00BF0875"/>
    <w:rsid w:val="00BF6D19"/>
    <w:rsid w:val="00C02743"/>
    <w:rsid w:val="00C17033"/>
    <w:rsid w:val="00C21467"/>
    <w:rsid w:val="00C2236B"/>
    <w:rsid w:val="00C2246E"/>
    <w:rsid w:val="00C250E9"/>
    <w:rsid w:val="00C25437"/>
    <w:rsid w:val="00C25F03"/>
    <w:rsid w:val="00C266E2"/>
    <w:rsid w:val="00C26B1C"/>
    <w:rsid w:val="00C272D2"/>
    <w:rsid w:val="00C30B34"/>
    <w:rsid w:val="00C3427F"/>
    <w:rsid w:val="00C376B9"/>
    <w:rsid w:val="00C41849"/>
    <w:rsid w:val="00C43269"/>
    <w:rsid w:val="00C4395F"/>
    <w:rsid w:val="00C47B5A"/>
    <w:rsid w:val="00C53184"/>
    <w:rsid w:val="00C53CC7"/>
    <w:rsid w:val="00C55439"/>
    <w:rsid w:val="00C554E6"/>
    <w:rsid w:val="00C61E79"/>
    <w:rsid w:val="00C61EC6"/>
    <w:rsid w:val="00C63FC4"/>
    <w:rsid w:val="00C72CD8"/>
    <w:rsid w:val="00C752DF"/>
    <w:rsid w:val="00C760B5"/>
    <w:rsid w:val="00C80CBE"/>
    <w:rsid w:val="00C83CE9"/>
    <w:rsid w:val="00C83E71"/>
    <w:rsid w:val="00C845A0"/>
    <w:rsid w:val="00C976E2"/>
    <w:rsid w:val="00C978C0"/>
    <w:rsid w:val="00CA030B"/>
    <w:rsid w:val="00CA0362"/>
    <w:rsid w:val="00CA6CB2"/>
    <w:rsid w:val="00CB1433"/>
    <w:rsid w:val="00CB45C0"/>
    <w:rsid w:val="00CC1D39"/>
    <w:rsid w:val="00CC2B9E"/>
    <w:rsid w:val="00CC3F48"/>
    <w:rsid w:val="00CC5264"/>
    <w:rsid w:val="00CC5B63"/>
    <w:rsid w:val="00CD0999"/>
    <w:rsid w:val="00CD7D0C"/>
    <w:rsid w:val="00CE4C22"/>
    <w:rsid w:val="00CE79DE"/>
    <w:rsid w:val="00CF05F9"/>
    <w:rsid w:val="00CF43BF"/>
    <w:rsid w:val="00D02102"/>
    <w:rsid w:val="00D034EB"/>
    <w:rsid w:val="00D03777"/>
    <w:rsid w:val="00D063CC"/>
    <w:rsid w:val="00D1327F"/>
    <w:rsid w:val="00D1412E"/>
    <w:rsid w:val="00D16F63"/>
    <w:rsid w:val="00D1772D"/>
    <w:rsid w:val="00D212E6"/>
    <w:rsid w:val="00D24214"/>
    <w:rsid w:val="00D245CD"/>
    <w:rsid w:val="00D255AD"/>
    <w:rsid w:val="00D301F8"/>
    <w:rsid w:val="00D3318B"/>
    <w:rsid w:val="00D33474"/>
    <w:rsid w:val="00D36B8C"/>
    <w:rsid w:val="00D40ACA"/>
    <w:rsid w:val="00D50398"/>
    <w:rsid w:val="00D5793C"/>
    <w:rsid w:val="00D639E8"/>
    <w:rsid w:val="00D65D5D"/>
    <w:rsid w:val="00D66F5A"/>
    <w:rsid w:val="00D7296A"/>
    <w:rsid w:val="00D77E93"/>
    <w:rsid w:val="00D8279E"/>
    <w:rsid w:val="00D868A6"/>
    <w:rsid w:val="00D878F9"/>
    <w:rsid w:val="00D942A1"/>
    <w:rsid w:val="00D963C0"/>
    <w:rsid w:val="00D96BCB"/>
    <w:rsid w:val="00DA06CF"/>
    <w:rsid w:val="00DA13C2"/>
    <w:rsid w:val="00DA3378"/>
    <w:rsid w:val="00DB233A"/>
    <w:rsid w:val="00DB3F2C"/>
    <w:rsid w:val="00DB688F"/>
    <w:rsid w:val="00DC0FB2"/>
    <w:rsid w:val="00DC3656"/>
    <w:rsid w:val="00DC6956"/>
    <w:rsid w:val="00DD0663"/>
    <w:rsid w:val="00DD130D"/>
    <w:rsid w:val="00DD24AD"/>
    <w:rsid w:val="00DD2DAE"/>
    <w:rsid w:val="00DD39A4"/>
    <w:rsid w:val="00DD5509"/>
    <w:rsid w:val="00DE3A8B"/>
    <w:rsid w:val="00DE5C2E"/>
    <w:rsid w:val="00DE61A3"/>
    <w:rsid w:val="00DE743B"/>
    <w:rsid w:val="00DF5567"/>
    <w:rsid w:val="00DF6075"/>
    <w:rsid w:val="00E12AC7"/>
    <w:rsid w:val="00E24D86"/>
    <w:rsid w:val="00E26745"/>
    <w:rsid w:val="00E36408"/>
    <w:rsid w:val="00E36623"/>
    <w:rsid w:val="00E425F7"/>
    <w:rsid w:val="00E50C2E"/>
    <w:rsid w:val="00E53FB4"/>
    <w:rsid w:val="00E827DD"/>
    <w:rsid w:val="00E84809"/>
    <w:rsid w:val="00E85E23"/>
    <w:rsid w:val="00E86D9F"/>
    <w:rsid w:val="00EA2A67"/>
    <w:rsid w:val="00EA35B8"/>
    <w:rsid w:val="00EA3C0A"/>
    <w:rsid w:val="00EA48A9"/>
    <w:rsid w:val="00EA4F22"/>
    <w:rsid w:val="00EA5F5E"/>
    <w:rsid w:val="00EB4973"/>
    <w:rsid w:val="00EB4D6E"/>
    <w:rsid w:val="00EC63A8"/>
    <w:rsid w:val="00ED1AFA"/>
    <w:rsid w:val="00ED21F1"/>
    <w:rsid w:val="00ED5384"/>
    <w:rsid w:val="00ED64B4"/>
    <w:rsid w:val="00EE1D31"/>
    <w:rsid w:val="00EE4223"/>
    <w:rsid w:val="00EE5D2A"/>
    <w:rsid w:val="00EE7D7F"/>
    <w:rsid w:val="00EF156E"/>
    <w:rsid w:val="00EF35D3"/>
    <w:rsid w:val="00EF3677"/>
    <w:rsid w:val="00EF5521"/>
    <w:rsid w:val="00EF575C"/>
    <w:rsid w:val="00EF7D97"/>
    <w:rsid w:val="00F06363"/>
    <w:rsid w:val="00F064B8"/>
    <w:rsid w:val="00F0732D"/>
    <w:rsid w:val="00F125FA"/>
    <w:rsid w:val="00F15BAB"/>
    <w:rsid w:val="00F16769"/>
    <w:rsid w:val="00F22DC1"/>
    <w:rsid w:val="00F23A3C"/>
    <w:rsid w:val="00F23A3E"/>
    <w:rsid w:val="00F240A7"/>
    <w:rsid w:val="00F25853"/>
    <w:rsid w:val="00F25BA5"/>
    <w:rsid w:val="00F25BB3"/>
    <w:rsid w:val="00F25E51"/>
    <w:rsid w:val="00F27E4B"/>
    <w:rsid w:val="00F34B67"/>
    <w:rsid w:val="00F354BE"/>
    <w:rsid w:val="00F35FF8"/>
    <w:rsid w:val="00F366AB"/>
    <w:rsid w:val="00F409A3"/>
    <w:rsid w:val="00F40F8A"/>
    <w:rsid w:val="00F41123"/>
    <w:rsid w:val="00F5147C"/>
    <w:rsid w:val="00F52AB0"/>
    <w:rsid w:val="00F54327"/>
    <w:rsid w:val="00F60CDD"/>
    <w:rsid w:val="00F62222"/>
    <w:rsid w:val="00F63668"/>
    <w:rsid w:val="00F703D4"/>
    <w:rsid w:val="00F71FFB"/>
    <w:rsid w:val="00F7279D"/>
    <w:rsid w:val="00F770C7"/>
    <w:rsid w:val="00F860FA"/>
    <w:rsid w:val="00F91080"/>
    <w:rsid w:val="00F9143B"/>
    <w:rsid w:val="00F9161D"/>
    <w:rsid w:val="00F94A09"/>
    <w:rsid w:val="00F97CCD"/>
    <w:rsid w:val="00FA130E"/>
    <w:rsid w:val="00FB08CC"/>
    <w:rsid w:val="00FB09A5"/>
    <w:rsid w:val="00FB5B39"/>
    <w:rsid w:val="00FB6584"/>
    <w:rsid w:val="00FC2B6D"/>
    <w:rsid w:val="00FC47BF"/>
    <w:rsid w:val="00FD2C56"/>
    <w:rsid w:val="00FE0584"/>
    <w:rsid w:val="00FE0D82"/>
    <w:rsid w:val="00FE33D3"/>
    <w:rsid w:val="00FF058C"/>
    <w:rsid w:val="00FF0ECE"/>
    <w:rsid w:val="00FF31A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1CC89-352B-4B24-99B7-8A224A03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1588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2</cp:revision>
  <cp:lastPrinted>2017-02-08T13:31:00Z</cp:lastPrinted>
  <dcterms:created xsi:type="dcterms:W3CDTF">2017-02-10T08:25:00Z</dcterms:created>
  <dcterms:modified xsi:type="dcterms:W3CDTF">2017-02-10T08:25:00Z</dcterms:modified>
</cp:coreProperties>
</file>