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F46B" w14:textId="0B470070" w:rsidR="009B4B82" w:rsidRDefault="00910EE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A26F46D" w14:textId="6FBD6F18" w:rsidR="009B4B82" w:rsidRDefault="00910EE9" w:rsidP="00B55D27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bookmarkStart w:id="0" w:name="_Hlk40096739"/>
      <w:bookmarkStart w:id="1" w:name="_GoBack"/>
      <w:r>
        <w:rPr>
          <w:rFonts w:eastAsia="Times New Roman"/>
          <w:b/>
          <w:bCs/>
          <w:smallCaps/>
          <w:kern w:val="36"/>
          <w:sz w:val="28"/>
          <w:lang w:eastAsia="cs-CZ"/>
        </w:rPr>
        <w:t>Výsledky agrárního zahraničního obchodu ČR</w:t>
      </w:r>
    </w:p>
    <w:bookmarkEnd w:id="1"/>
    <w:p w14:paraId="0A26F46E" w14:textId="77777777" w:rsidR="009B4B82" w:rsidRDefault="00910EE9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pololetí roku 2020</w:t>
      </w:r>
    </w:p>
    <w:p w14:paraId="0A26F46F" w14:textId="77777777" w:rsidR="009B4B82" w:rsidRDefault="00910EE9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0A26F470" w14:textId="77777777" w:rsidR="009B4B82" w:rsidRDefault="00910EE9">
      <w:pPr>
        <w:spacing w:before="240" w:line="276" w:lineRule="auto"/>
        <w:ind w:firstLine="708"/>
        <w:rPr>
          <w:b/>
        </w:rPr>
      </w:pPr>
      <w:r>
        <w:rPr>
          <w:b/>
        </w:rPr>
        <w:t xml:space="preserve">V 1. pololetí roku 2020 se meziročně záporná bilance agrárního zahraničního obchodu (AZO) ČR zlepšila o 15,4 %, kdy se schodek AZO snížil z 24,3 mld. Kč na 20,6 mld. Kč. </w:t>
      </w:r>
    </w:p>
    <w:p w14:paraId="0A26F471" w14:textId="77777777" w:rsidR="009B4B82" w:rsidRDefault="00910EE9">
      <w:pPr>
        <w:spacing w:before="240" w:line="276" w:lineRule="auto"/>
        <w:ind w:firstLine="708"/>
        <w:rPr>
          <w:b/>
        </w:rPr>
      </w:pPr>
      <w:r>
        <w:rPr>
          <w:b/>
        </w:rPr>
        <w:t xml:space="preserve">V 1. pololetí roku 2020 se meziročně zlepšila zejména záporná bilance AZO ČR se zeměmi EU 27, a to z 16,1 mld. Kč na 11,0 mld. Kč, zatímco záporná bilance AZO ČR s třetími zeměmi (včetně Spojeného království) se prohloubila ze 7,9 mld. Kč na 9,4 mld. Kč.  </w:t>
      </w:r>
    </w:p>
    <w:p w14:paraId="0A26F472" w14:textId="77777777" w:rsidR="009B4B82" w:rsidRDefault="00910EE9">
      <w:pPr>
        <w:spacing w:before="240" w:line="276" w:lineRule="auto"/>
        <w:ind w:firstLine="708"/>
      </w:pPr>
      <w:r>
        <w:t xml:space="preserve">V prvním pololetí roku 2020 vzrostla hodnota </w:t>
      </w:r>
      <w:r>
        <w:rPr>
          <w:b/>
        </w:rPr>
        <w:t>vývozu</w:t>
      </w:r>
      <w:r>
        <w:t xml:space="preserve"> agrárního zboží</w:t>
      </w:r>
      <w:r>
        <w:rPr>
          <w:rStyle w:val="Znakapoznpodarou"/>
        </w:rPr>
        <w:footnoteReference w:id="1"/>
      </w:r>
      <w:r>
        <w:t xml:space="preserve"> z ČR významněji než hodnota dovozu. Vývoz posílil o 7,7 % na 103,7 mld. Kč, tj. o 7,4 mld. Kč více než za stejné období loňského roku; hodnota </w:t>
      </w:r>
      <w:r>
        <w:rPr>
          <w:b/>
        </w:rPr>
        <w:t xml:space="preserve">dovozu </w:t>
      </w:r>
      <w:r>
        <w:t xml:space="preserve">vzrostla meziročně o 3,0 % (tj. o 3,7 mld. Kč) na 124,3 mld. Kč. </w:t>
      </w:r>
      <w:r>
        <w:rPr>
          <w:b/>
        </w:rPr>
        <w:t>Stupeň krytí dovozu vývozem</w:t>
      </w:r>
      <w:r>
        <w:t xml:space="preserve"> se meziročně zvýšil o 3,6 p. b. na 83,5 %.</w:t>
      </w:r>
    </w:p>
    <w:p w14:paraId="0A26F473" w14:textId="77777777" w:rsidR="009B4B82" w:rsidRDefault="00910EE9">
      <w:pPr>
        <w:spacing w:before="240" w:line="276" w:lineRule="auto"/>
        <w:ind w:firstLine="708"/>
      </w:pPr>
      <w:r>
        <w:t>Agrární zboží v celkovém zahraničním obchodu ČR tvořilo v prvním pololetí roku 2020 na straně vývozu 5,1 % a na straně dovozu 6,7 %, což je v obou případech v meziročním porovnání vyšší hodnota, viz tab. 5. Nárůst v meziročním porovnání činil u vývozu 0,9 p. b., u dovozu 0,8 p. b.</w:t>
      </w:r>
    </w:p>
    <w:p w14:paraId="0A26F474" w14:textId="77777777" w:rsidR="009B4B82" w:rsidRDefault="00910EE9">
      <w:pPr>
        <w:spacing w:before="240" w:line="276" w:lineRule="auto"/>
        <w:ind w:firstLine="708"/>
      </w:pPr>
      <w:r>
        <w:t xml:space="preserve">Nejvýznamnější </w:t>
      </w:r>
      <w:r>
        <w:rPr>
          <w:b/>
          <w:bCs/>
        </w:rPr>
        <w:t>zlepšení bilance v celkovém AZO ČR vykázaly v prvních šesti měsících roku 2020 cigarety, pšenice, kukuřice a kapitola voda, minerálky, slazené sodovky</w:t>
      </w:r>
      <w:r>
        <w:t xml:space="preserve"> meziroční </w:t>
      </w:r>
      <w:r>
        <w:rPr>
          <w:b/>
          <w:bCs/>
        </w:rPr>
        <w:t>zhoršení naopak nastalo u vepřového masa, pekařského zboží, semen řepky a jablek, hrušek a kdoulí</w:t>
      </w:r>
      <w:r>
        <w:t>. Detailní přehled nabízí tabulky 2–4.</w:t>
      </w:r>
    </w:p>
    <w:p w14:paraId="0A26F475" w14:textId="77777777" w:rsidR="009B4B82" w:rsidRDefault="00910EE9">
      <w:pPr>
        <w:spacing w:before="240" w:line="276" w:lineRule="auto"/>
        <w:ind w:firstLine="708"/>
      </w:pPr>
      <w:r>
        <w:t xml:space="preserve">Při meziročním nárůstu celkového agrárního exportu ČR v 1.pololetí roku 2020 došlo </w:t>
      </w:r>
      <w:r>
        <w:rPr>
          <w:b/>
          <w:bCs/>
        </w:rPr>
        <w:t>v zemích, kde působí agrární diplomaté ČR</w:t>
      </w:r>
      <w:r>
        <w:rPr>
          <w:b/>
          <w:bCs/>
          <w:vertAlign w:val="superscript"/>
        </w:rPr>
        <w:footnoteReference w:id="2"/>
      </w:r>
      <w:r>
        <w:rPr>
          <w:b/>
          <w:bCs/>
        </w:rPr>
        <w:t>, převážně k meziročnímu snížení agrárního exportu ČR. A to především z důvodů přijatých opatření ze strany ČR a dalších států v souvislosti se šířením virové epidemie koronaviru. Nejvíce pak v případě Libanonu o 55,4 % a Číny o 48,1 % (Spojené arabské emiráty – pokles o 8,3 %). Hodnota agrárního exportu do Ruska ve sledovaném období stagnovala. Naopak došlo v 1. pololetí roku 2020 ve srovnání se stejným obdobím roku 2019 k nárůstu vývozu agrárního zboží do Spojených států o 26,7 % a do Srbska o 2,3 %.</w:t>
      </w:r>
      <w:r>
        <w:t xml:space="preserve"> V 1. pololetí 2020 byl zaznamenán pokles zahraničních zakázek a omezení odbytu českého a zahraničního zboží.</w:t>
      </w:r>
    </w:p>
    <w:p w14:paraId="0A26F476" w14:textId="77777777" w:rsidR="009B4B82" w:rsidRDefault="009B4B82">
      <w:pPr>
        <w:spacing w:before="240"/>
        <w:rPr>
          <w:b/>
          <w:u w:val="single"/>
        </w:rPr>
      </w:pPr>
    </w:p>
    <w:p w14:paraId="0A26F477" w14:textId="77777777" w:rsidR="009B4B82" w:rsidRDefault="00910EE9">
      <w:pPr>
        <w:spacing w:before="240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0A26F478" w14:textId="77777777" w:rsidR="009B4B82" w:rsidRDefault="00910EE9">
      <w:pPr>
        <w:spacing w:before="160" w:line="276" w:lineRule="auto"/>
        <w:ind w:firstLine="709"/>
      </w:pPr>
      <w:r>
        <w:t xml:space="preserve">Agrární zboží </w:t>
      </w:r>
      <w:r>
        <w:rPr>
          <w:b/>
        </w:rPr>
        <w:t xml:space="preserve">směřovalo </w:t>
      </w:r>
      <w:r>
        <w:t>v prvních šesti měsících roku 2020 zejména do </w:t>
      </w:r>
      <w:r>
        <w:rPr>
          <w:b/>
        </w:rPr>
        <w:t>Německa</w:t>
      </w:r>
      <w:r>
        <w:t xml:space="preserve"> (23,1 %) a na </w:t>
      </w:r>
      <w:r>
        <w:rPr>
          <w:b/>
        </w:rPr>
        <w:t>Slovensko</w:t>
      </w:r>
      <w:r>
        <w:t xml:space="preserve"> (20,6 %). Třetí nejvýznamnější destinací zůstalo </w:t>
      </w:r>
      <w:r>
        <w:rPr>
          <w:b/>
        </w:rPr>
        <w:t>Polsko</w:t>
      </w:r>
      <w:r>
        <w:t xml:space="preserve"> (10,1 %). </w:t>
      </w:r>
      <w:r>
        <w:lastRenderedPageBreak/>
        <w:t xml:space="preserve">Dále následovaly </w:t>
      </w:r>
      <w:r>
        <w:rPr>
          <w:b/>
        </w:rPr>
        <w:t>Itálie</w:t>
      </w:r>
      <w:r>
        <w:t xml:space="preserve"> (9,1 %), </w:t>
      </w:r>
      <w:r>
        <w:rPr>
          <w:b/>
        </w:rPr>
        <w:t>Rakousko</w:t>
      </w:r>
      <w:r>
        <w:t xml:space="preserve"> (5,1 %) a </w:t>
      </w:r>
      <w:r>
        <w:rPr>
          <w:b/>
        </w:rPr>
        <w:t>Maďarsko</w:t>
      </w:r>
      <w:r>
        <w:t xml:space="preserve"> (4,8 %). Hlavním odběratelem v rámci třetích zemí byly Spojené království (2,3 %), Rusko (1,7 %), Japonsko (0,7 %), USA (0,5 %), Čína a Ukrajina (shodně 0,4 %).</w:t>
      </w:r>
    </w:p>
    <w:p w14:paraId="0A26F479" w14:textId="77777777" w:rsidR="009B4B82" w:rsidRDefault="00910EE9">
      <w:pPr>
        <w:spacing w:line="276" w:lineRule="auto"/>
        <w:ind w:firstLine="708"/>
      </w:pPr>
      <w:r>
        <w:t xml:space="preserve">Český agrární </w:t>
      </w:r>
      <w:r>
        <w:rPr>
          <w:b/>
        </w:rPr>
        <w:t>dovoz</w:t>
      </w:r>
      <w:r>
        <w:t xml:space="preserve"> pocházel v 1. pololetí roku 2020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22,8 % a 15,2 %. V meziročním porovnání v 1. pololetí roku 2020 vzrostl podíl Německa (o 0,7 p. b.) a podíl Polska (o 0,1 p. b.). Dalšími významnými dovozci byly </w:t>
      </w:r>
      <w:r>
        <w:rPr>
          <w:b/>
        </w:rPr>
        <w:t>Nizozemsko</w:t>
      </w:r>
      <w:r>
        <w:t xml:space="preserve"> (7,2 %), </w:t>
      </w:r>
      <w:r>
        <w:rPr>
          <w:b/>
        </w:rPr>
        <w:t>Slovensko</w:t>
      </w:r>
      <w:r>
        <w:t xml:space="preserve">, </w:t>
      </w:r>
      <w:r>
        <w:rPr>
          <w:b/>
        </w:rPr>
        <w:t>Španělsko</w:t>
      </w:r>
      <w:r>
        <w:t xml:space="preserve"> (shodně 6,5 %) a </w:t>
      </w:r>
      <w:r>
        <w:rPr>
          <w:b/>
        </w:rPr>
        <w:t>Itálie</w:t>
      </w:r>
      <w:r>
        <w:t xml:space="preserve"> (5,6 %). Z třetích zemí byly hlavními dodavateli Spojené království (1,5 %), Čína (1,4 %), Ukrajina (1,2 %), Turecko a Spojené státy (shodně 1,0 %), Norsko (0,9 %) a Brazílie (0,6 %). </w:t>
      </w:r>
    </w:p>
    <w:p w14:paraId="0A26F47A" w14:textId="77777777" w:rsidR="009B4B82" w:rsidRDefault="00910EE9">
      <w:pPr>
        <w:spacing w:line="276" w:lineRule="auto"/>
        <w:ind w:firstLine="708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pololetí roku 2020 v obchodě s Německem snížením záporné bilance o 2,4 mld. Kč (zejména výraznějším navýšením vývozu pšenice, mírněji pak vývozem cigaret), Itálií (o 1,8 mld. Kč), Rumunskem (zlepšení záporné bilance o 1,4 mld. Kč), Nizozemskem (zlepšení záporné bilance o 561,0 mil. Kč) a Slovenskem (o 441,2 mil. Kč). </w:t>
      </w:r>
      <w:r>
        <w:rPr>
          <w:b/>
        </w:rPr>
        <w:t>Zhoršení bilance</w:t>
      </w:r>
      <w:r>
        <w:t xml:space="preserve"> zaznamenal obchod zejména s Řeckem (o 729,2 mil. Kč, především nárůst dovozu tabákových náhražek), dále pak Belgií (o 728,7 mil. Kč), Polskem (o 505,6 mil. Kč) a Čínou (o 484,3 mil. Kč).</w:t>
      </w:r>
    </w:p>
    <w:p w14:paraId="0A26F47B" w14:textId="77777777" w:rsidR="009B4B82" w:rsidRDefault="009B4B82">
      <w:pPr>
        <w:spacing w:line="276" w:lineRule="auto"/>
        <w:ind w:firstLine="708"/>
      </w:pPr>
    </w:p>
    <w:p w14:paraId="0A26F47C" w14:textId="77777777" w:rsidR="009B4B82" w:rsidRDefault="00910EE9">
      <w:pPr>
        <w:spacing w:before="240"/>
        <w:rPr>
          <w:b/>
          <w:u w:val="single"/>
        </w:rPr>
      </w:pPr>
      <w:r>
        <w:rPr>
          <w:b/>
          <w:u w:val="single"/>
        </w:rPr>
        <w:t>KOMODITNÍ POHLED</w:t>
      </w:r>
    </w:p>
    <w:p w14:paraId="0A26F47D" w14:textId="77777777" w:rsidR="009B4B82" w:rsidRDefault="00910EE9">
      <w:pPr>
        <w:spacing w:before="160" w:line="276" w:lineRule="auto"/>
        <w:ind w:firstLine="709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3"/>
      </w:r>
      <w:r>
        <w:t xml:space="preserve"> byly v 1. pololetí roku 2020 </w:t>
      </w:r>
      <w:r>
        <w:rPr>
          <w:b/>
        </w:rPr>
        <w:t>cigarety, přípravky používané k výživě zvířat, pšenice,</w:t>
      </w:r>
      <w:r>
        <w:t xml:space="preserve"> </w:t>
      </w:r>
      <w:r>
        <w:rPr>
          <w:b/>
        </w:rPr>
        <w:t>potravinové přípravky jiné</w:t>
      </w:r>
      <w:r>
        <w:rPr>
          <w:rStyle w:val="Znakapoznpodarou"/>
          <w:b/>
        </w:rPr>
        <w:footnoteReference w:id="4"/>
      </w:r>
      <w:r>
        <w:t xml:space="preserve"> a </w:t>
      </w:r>
      <w:r>
        <w:rPr>
          <w:b/>
        </w:rPr>
        <w:t xml:space="preserve">pekařské zboží.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přípravky používané k výživě zvířat, pekařské zboží,</w:t>
      </w:r>
      <w:r>
        <w:t xml:space="preserve"> </w:t>
      </w:r>
      <w:r>
        <w:rPr>
          <w:b/>
        </w:rPr>
        <w:t xml:space="preserve">potravinové přípravky jiné a sýry a tvaroh. </w:t>
      </w:r>
      <w:r>
        <w:t>Detailnější údaje o nejvíce vyvážených a dovážených agrárních položkách ve sledovaném období uvádí tabulka 1.</w:t>
      </w:r>
    </w:p>
    <w:p w14:paraId="0A26F47E" w14:textId="77777777" w:rsidR="009B4B82" w:rsidRDefault="009B4B82">
      <w:pPr>
        <w:spacing w:line="276" w:lineRule="auto"/>
        <w:ind w:firstLine="708"/>
      </w:pPr>
    </w:p>
    <w:p w14:paraId="0A26F47F" w14:textId="77777777" w:rsidR="009B4B82" w:rsidRDefault="009B4B82">
      <w:pPr>
        <w:spacing w:line="276" w:lineRule="auto"/>
        <w:ind w:firstLine="708"/>
      </w:pPr>
    </w:p>
    <w:p w14:paraId="0A26F480" w14:textId="77777777" w:rsidR="009B4B82" w:rsidRDefault="00910EE9">
      <w:pPr>
        <w:jc w:val="left"/>
      </w:pPr>
      <w:r>
        <w:br w:type="page"/>
      </w:r>
    </w:p>
    <w:p w14:paraId="0A26F481" w14:textId="77777777" w:rsidR="009B4B82" w:rsidRDefault="00910EE9">
      <w:pPr>
        <w:rPr>
          <w:b/>
          <w:szCs w:val="16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1. pololetí roku 2020</w:t>
      </w: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70"/>
        <w:gridCol w:w="751"/>
        <w:gridCol w:w="752"/>
        <w:gridCol w:w="2089"/>
        <w:gridCol w:w="870"/>
        <w:gridCol w:w="770"/>
        <w:gridCol w:w="738"/>
      </w:tblGrid>
      <w:tr w:rsidR="009B4B82" w14:paraId="0A26F48A" w14:textId="77777777">
        <w:trPr>
          <w:trHeight w:val="1029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2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3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Hodnota vývozu (mld. Kč)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4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na agrár. vývozu (%)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5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Změna proti     1. pol. 2019 (%)</w:t>
            </w:r>
          </w:p>
        </w:tc>
        <w:tc>
          <w:tcPr>
            <w:tcW w:w="1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6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7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Hodnota dovozu (mld. Kč)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8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na agrár. dovozu (%)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9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Změna proti    1. pol. 2019 (%)</w:t>
            </w:r>
          </w:p>
        </w:tc>
      </w:tr>
      <w:tr w:rsidR="009B4B82" w14:paraId="0A26F493" w14:textId="77777777">
        <w:trPr>
          <w:trHeight w:val="448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B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Cigarety, doutníky a ostatní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11,2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8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11,3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46,3</w:t>
            </w:r>
          </w:p>
        </w:tc>
        <w:tc>
          <w:tcPr>
            <w:tcW w:w="11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8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8,7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14,5</w:t>
            </w:r>
          </w:p>
        </w:tc>
      </w:tr>
      <w:tr w:rsidR="009B4B82" w14:paraId="0A26F49C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4" w14:textId="13F39162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používané k</w:t>
            </w:r>
            <w:r w:rsidR="007755FD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výživě zvířat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8" w14:textId="19861FB5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používané</w:t>
            </w:r>
            <w:r w:rsidR="007755FD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</w:t>
            </w:r>
            <w:r w:rsidR="007755FD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výživě zvířat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22,9</w:t>
            </w:r>
          </w:p>
        </w:tc>
      </w:tr>
      <w:tr w:rsidR="009B4B82" w14:paraId="0A26F4A5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9D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Pšenice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9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47,2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1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 ap.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</w:tr>
      <w:tr w:rsidR="009B4B82" w14:paraId="0A26F4AE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6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Potravinové přípravky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Potravinové přípravky.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A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11,2</w:t>
            </w:r>
          </w:p>
        </w:tc>
      </w:tr>
      <w:tr w:rsidR="009B4B82" w14:paraId="0A26F4B7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A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 ap.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-5,4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</w:tr>
      <w:tr w:rsidR="009B4B82" w14:paraId="0A26F4C0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8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Mléko, smetana nezahuštěná neslazená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8,6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Doutníky, doutníčky, cigarety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B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B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-12,4</w:t>
            </w:r>
          </w:p>
        </w:tc>
      </w:tr>
      <w:tr w:rsidR="009B4B82" w14:paraId="0A26F4C9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1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-12,7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-7,0</w:t>
            </w:r>
          </w:p>
        </w:tc>
      </w:tr>
      <w:tr w:rsidR="009B4B82" w14:paraId="0A26F4D2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C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Káva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C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-14,4</w:t>
            </w:r>
          </w:p>
        </w:tc>
      </w:tr>
      <w:tr w:rsidR="009B4B82" w14:paraId="0A26F4DB" w14:textId="77777777">
        <w:trPr>
          <w:trHeight w:val="448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10,1</w:t>
            </w:r>
          </w:p>
        </w:tc>
        <w:tc>
          <w:tcPr>
            <w:tcW w:w="11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7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4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</w:tr>
      <w:tr w:rsidR="009B4B82" w14:paraId="0A26F4E4" w14:textId="77777777">
        <w:trPr>
          <w:trHeight w:val="448"/>
        </w:trPr>
        <w:tc>
          <w:tcPr>
            <w:tcW w:w="12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D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D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E0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E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E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E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0,2</w:t>
            </w:r>
          </w:p>
        </w:tc>
      </w:tr>
    </w:tbl>
    <w:p w14:paraId="0A26F4E5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0A26F4E6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4E7" w14:textId="77777777" w:rsidR="009B4B82" w:rsidRDefault="009B4B82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0A26F4E8" w14:textId="77777777" w:rsidR="009B4B82" w:rsidRDefault="00910EE9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čtvrtletí roku 2020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768"/>
        <w:gridCol w:w="727"/>
        <w:gridCol w:w="928"/>
        <w:gridCol w:w="1875"/>
        <w:gridCol w:w="853"/>
        <w:gridCol w:w="772"/>
        <w:gridCol w:w="906"/>
      </w:tblGrid>
      <w:tr w:rsidR="009B4B82" w14:paraId="0A26F4EF" w14:textId="77777777">
        <w:trPr>
          <w:trHeight w:val="300"/>
        </w:trPr>
        <w:tc>
          <w:tcPr>
            <w:tcW w:w="12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E9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4EA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EB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10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EC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4ED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EE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9B4B82" w14:paraId="0A26F4F8" w14:textId="77777777">
        <w:trPr>
          <w:trHeight w:val="314"/>
        </w:trPr>
        <w:tc>
          <w:tcPr>
            <w:tcW w:w="122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4F0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F1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F2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4F3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4F4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F5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4F6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4F7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B82" w14:paraId="0A26F501" w14:textId="77777777">
        <w:trPr>
          <w:trHeight w:val="449"/>
        </w:trPr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F9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Cigarety, doutníky a ostatní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F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3 225,4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F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7 325,7</w:t>
            </w:r>
          </w:p>
        </w:tc>
        <w:tc>
          <w:tcPr>
            <w:tcW w:w="51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F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4 100,3</w:t>
            </w:r>
          </w:p>
        </w:tc>
        <w:tc>
          <w:tcPr>
            <w:tcW w:w="10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4FD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F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-6 900,9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4F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-7 879,3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-978,4</w:t>
            </w:r>
          </w:p>
        </w:tc>
      </w:tr>
      <w:tr w:rsidR="009B4B82" w14:paraId="0A26F50A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02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Pšenice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4 119,6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6 026,3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1 906,7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06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 ap.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555,3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-605,6</w:t>
            </w:r>
          </w:p>
        </w:tc>
      </w:tr>
      <w:tr w:rsidR="009B4B82" w14:paraId="0A26F513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0B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Kukuřice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-921,9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-410,4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0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511,5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0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Semena řepky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1 676,8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1 073,3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-603,5</w:t>
            </w:r>
          </w:p>
        </w:tc>
      </w:tr>
      <w:tr w:rsidR="009B4B82" w14:paraId="0A26F51C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14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Voda, minerálky, slazené sodovky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29,0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425,1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396,1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18" w14:textId="6E645B60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Jablka, hrušky a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kdoule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-406,0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-951,9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-545,8</w:t>
            </w:r>
          </w:p>
        </w:tc>
      </w:tr>
      <w:tr w:rsidR="009B4B82" w14:paraId="0A26F525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1D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Ethylalkohol pod 80 %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-1 223,6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1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-859,1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364,5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21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3 473,9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2 978,4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-495,5</w:t>
            </w:r>
          </w:p>
        </w:tc>
      </w:tr>
      <w:tr w:rsidR="009B4B82" w14:paraId="0A26F52E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26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Mléko, smetana nezahuštěná neslazená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3 867,5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4 208,2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340,7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2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Citrusové plody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-1 335,7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-1 799,1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2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-463,4</w:t>
            </w:r>
          </w:p>
        </w:tc>
      </w:tr>
      <w:tr w:rsidR="009B4B82" w14:paraId="0A26F537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2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-1 177,6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-838,3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339,3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3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1 938,9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1 562,4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-376,5</w:t>
            </w:r>
          </w:p>
        </w:tc>
      </w:tr>
      <w:tr w:rsidR="009B4B82" w14:paraId="0A26F540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38" w14:textId="2D789D65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používané k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výživě zvířat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1 907,2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2 226,2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319,0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3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Slad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1 097,1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3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-272,3</w:t>
            </w:r>
          </w:p>
        </w:tc>
      </w:tr>
      <w:tr w:rsidR="009B4B82" w14:paraId="0A26F549" w14:textId="77777777">
        <w:trPr>
          <w:trHeight w:val="449"/>
        </w:trPr>
        <w:tc>
          <w:tcPr>
            <w:tcW w:w="12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41" w14:textId="7E7B2222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Výtažky a koncentráty z</w:t>
            </w:r>
            <w:r w:rsidR="007755FD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kávy a čaje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-135,5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140,3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275,8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4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Nezpracovaný tabák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-608,2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-840,6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-232,4</w:t>
            </w:r>
          </w:p>
        </w:tc>
      </w:tr>
      <w:tr w:rsidR="009B4B82" w14:paraId="0A26F552" w14:textId="77777777">
        <w:trPr>
          <w:trHeight w:val="449"/>
        </w:trPr>
        <w:tc>
          <w:tcPr>
            <w:tcW w:w="1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4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Pokrutiny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944,8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1 204,6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259,7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4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Tuky a oleje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4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-429,5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5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-637,9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5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-208,4</w:t>
            </w:r>
          </w:p>
        </w:tc>
      </w:tr>
    </w:tbl>
    <w:p w14:paraId="0A26F553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A26F554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555" w14:textId="77777777" w:rsidR="009B4B82" w:rsidRDefault="00910EE9">
      <w:pPr>
        <w:keepNext/>
        <w:spacing w:before="240" w:after="12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3 – Přehled 10 položek s nejvýraznější kladnou a zápornou změnou bilance se zeměmi EU 27 v 1. pololetí roku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853"/>
        <w:gridCol w:w="790"/>
        <w:gridCol w:w="971"/>
        <w:gridCol w:w="1841"/>
        <w:gridCol w:w="846"/>
        <w:gridCol w:w="864"/>
        <w:gridCol w:w="971"/>
      </w:tblGrid>
      <w:tr w:rsidR="009B4B82" w14:paraId="0A26F55C" w14:textId="77777777">
        <w:trPr>
          <w:trHeight w:val="450"/>
        </w:trPr>
        <w:tc>
          <w:tcPr>
            <w:tcW w:w="10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56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557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58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59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55A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5B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9B4B82" w14:paraId="0A26F565" w14:textId="77777777">
        <w:trPr>
          <w:trHeight w:val="360"/>
        </w:trPr>
        <w:tc>
          <w:tcPr>
            <w:tcW w:w="105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5D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5E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5F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60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1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61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62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63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64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B82" w14:paraId="0A26F56E" w14:textId="77777777">
        <w:trPr>
          <w:trHeight w:val="460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66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Cigarety, doutníky a ostatní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6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3 218,4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6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7 329,0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6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4 110,6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6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6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-6 848,9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6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-7 738,2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6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-889,3</w:t>
            </w:r>
          </w:p>
        </w:tc>
      </w:tr>
      <w:tr w:rsidR="009B4B82" w14:paraId="0A26F577" w14:textId="77777777">
        <w:trPr>
          <w:trHeight w:val="46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6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Pšenice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4 116,5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5 983,1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1 866,6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7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Semena řepky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7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1 676,5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7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1 074,1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7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-602,4</w:t>
            </w:r>
          </w:p>
        </w:tc>
      </w:tr>
      <w:tr w:rsidR="009B4B82" w14:paraId="0A26F580" w14:textId="77777777">
        <w:trPr>
          <w:trHeight w:val="46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78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Kukuřice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-881,7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-397,0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7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484,7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7C" w14:textId="2FA864D2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Jablka, hrušky a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kdoule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7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-372,3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7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-906,4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7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-534,1</w:t>
            </w:r>
          </w:p>
        </w:tc>
      </w:tr>
      <w:tr w:rsidR="009B4B82" w14:paraId="0A26F589" w14:textId="77777777">
        <w:trPr>
          <w:trHeight w:val="46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0" w:type="dxa"/>
              <w:right w:w="28" w:type="dxa"/>
            </w:tcMar>
            <w:vAlign w:val="center"/>
            <w:hideMark/>
          </w:tcPr>
          <w:p w14:paraId="0A26F581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Ethylakohol nad 80% 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-347,9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403,0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8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 ap.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8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-304,6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8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-773,1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8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-468,5</w:t>
            </w:r>
          </w:p>
        </w:tc>
      </w:tr>
      <w:tr w:rsidR="009B4B82" w14:paraId="0A26F592" w14:textId="77777777">
        <w:trPr>
          <w:trHeight w:val="46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8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-1 228,0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-843,4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8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384,6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8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8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2 523,1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9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2 169,6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9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-353,5</w:t>
            </w:r>
          </w:p>
        </w:tc>
      </w:tr>
      <w:tr w:rsidR="009B4B82" w14:paraId="0A26F59B" w14:textId="77777777">
        <w:trPr>
          <w:trHeight w:val="51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9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Mléko, smetana nezahuštěná neslazená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3 858,6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4 189,1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330,5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97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Banány 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9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335,3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9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9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-335,5</w:t>
            </w:r>
          </w:p>
        </w:tc>
      </w:tr>
      <w:tr w:rsidR="009B4B82" w14:paraId="0A26F5A4" w14:textId="77777777">
        <w:trPr>
          <w:trHeight w:val="300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9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Voda, minerálky, slazené sodovky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222,0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527,7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9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305,8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0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Citrusové plody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A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-1 069,5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A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-1 357,4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-287,9</w:t>
            </w:r>
          </w:p>
        </w:tc>
      </w:tr>
      <w:tr w:rsidR="009B4B82" w14:paraId="0A26F5AD" w14:textId="77777777">
        <w:trPr>
          <w:trHeight w:val="473"/>
        </w:trPr>
        <w:tc>
          <w:tcPr>
            <w:tcW w:w="10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Pokrutiny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A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982,3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A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1 250,6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A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268,3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9" w14:textId="62D8DCE9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Semena a plody k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výsevu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A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A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-328,5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-174,3</w:t>
            </w:r>
          </w:p>
        </w:tc>
      </w:tr>
      <w:tr w:rsidR="009B4B82" w14:paraId="0A26F5B6" w14:textId="77777777">
        <w:trPr>
          <w:trHeight w:val="543"/>
        </w:trPr>
        <w:tc>
          <w:tcPr>
            <w:tcW w:w="105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A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Tabákové náhražky</w:t>
            </w: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A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-1 067,1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B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-857,1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B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210,1</w:t>
            </w:r>
          </w:p>
        </w:tc>
        <w:tc>
          <w:tcPr>
            <w:tcW w:w="10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B2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Zelenina ostatní, připravená a konzervovaná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B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-345,9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B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-517,5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B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-171,5</w:t>
            </w:r>
          </w:p>
        </w:tc>
      </w:tr>
      <w:tr w:rsidR="009B4B82" w14:paraId="0A26F5BF" w14:textId="77777777">
        <w:trPr>
          <w:trHeight w:val="281"/>
        </w:trPr>
        <w:tc>
          <w:tcPr>
            <w:tcW w:w="10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B7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B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-2 267,8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B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-2 073,5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F5B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194,3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BB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B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1 476,5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B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1 305,5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B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-171,1</w:t>
            </w:r>
          </w:p>
        </w:tc>
      </w:tr>
    </w:tbl>
    <w:p w14:paraId="0A26F5C0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A26F5C1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5C2" w14:textId="77777777" w:rsidR="009B4B82" w:rsidRDefault="009B4B82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0A26F5C3" w14:textId="77777777" w:rsidR="009B4B82" w:rsidRDefault="009B4B82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0A26F5C4" w14:textId="77777777" w:rsidR="009B4B82" w:rsidRDefault="00910EE9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1. pololetí roku 2020</w:t>
      </w:r>
    </w:p>
    <w:p w14:paraId="0A26F5C5" w14:textId="77777777" w:rsidR="009B4B82" w:rsidRDefault="009B4B82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821"/>
        <w:gridCol w:w="821"/>
        <w:gridCol w:w="971"/>
        <w:gridCol w:w="2085"/>
        <w:gridCol w:w="750"/>
        <w:gridCol w:w="676"/>
        <w:gridCol w:w="971"/>
      </w:tblGrid>
      <w:tr w:rsidR="009B4B82" w14:paraId="0A26F5CC" w14:textId="77777777">
        <w:trPr>
          <w:trHeight w:val="435"/>
        </w:trPr>
        <w:tc>
          <w:tcPr>
            <w:tcW w:w="10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C6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5C7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C8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1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C9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5CA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CB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9B4B82" w14:paraId="0A26F5D5" w14:textId="77777777">
        <w:trPr>
          <w:trHeight w:val="332"/>
        </w:trPr>
        <w:tc>
          <w:tcPr>
            <w:tcW w:w="107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CD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CE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CF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D0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D1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2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3" w14:textId="77777777" w:rsidR="009B4B82" w:rsidRDefault="00910E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6F5D4" w14:textId="77777777" w:rsidR="009B4B82" w:rsidRDefault="009B4B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B82" w14:paraId="0A26F5DE" w14:textId="77777777">
        <w:trPr>
          <w:trHeight w:val="414"/>
        </w:trPr>
        <w:tc>
          <w:tcPr>
            <w:tcW w:w="10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D6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Banány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-1 526,1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-1 252,4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D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273,7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D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Ethylakohol nad 80%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-115,0</w:t>
            </w:r>
          </w:p>
        </w:tc>
        <w:tc>
          <w:tcPr>
            <w:tcW w:w="3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D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-597,8</w:t>
            </w:r>
          </w:p>
        </w:tc>
        <w:tc>
          <w:tcPr>
            <w:tcW w:w="5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D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-482,8</w:t>
            </w:r>
          </w:p>
        </w:tc>
      </w:tr>
      <w:tr w:rsidR="009B4B82" w14:paraId="0A26F5E7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0" w:type="dxa"/>
              <w:right w:w="28" w:type="dxa"/>
            </w:tcMar>
            <w:vAlign w:val="center"/>
            <w:hideMark/>
          </w:tcPr>
          <w:p w14:paraId="0A26F5DF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Ethylakohol pod 80%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-686,1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-418,7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267,4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Potravinové přípravky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-429,5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-801,1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-371,6</w:t>
            </w:r>
          </w:p>
        </w:tc>
      </w:tr>
      <w:tr w:rsidR="009B4B82" w14:paraId="0A26F5F0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8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používané k výživě zvířat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533,9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706,1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172,2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Skořápkové ovoce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-357,8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E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-595,1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E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-237,3</w:t>
            </w:r>
          </w:p>
        </w:tc>
      </w:tr>
      <w:tr w:rsidR="009B4B82" w14:paraId="0A26F5F9" w14:textId="77777777">
        <w:trPr>
          <w:trHeight w:val="540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1" w14:textId="6354ADC8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Výtažky, esence a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koncentráty z kávy a čaje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-379,8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-259,6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120,2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Nezpracovaný tabák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-506,5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-737,8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-231,4</w:t>
            </w:r>
          </w:p>
        </w:tc>
      </w:tr>
      <w:tr w:rsidR="009B4B82" w14:paraId="0A26F602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A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Chmel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435,5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108,4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5F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F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462,4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257,0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-205,4</w:t>
            </w:r>
          </w:p>
        </w:tc>
      </w:tr>
      <w:tr w:rsidR="009B4B82" w14:paraId="0A26F60B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3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Cibule, šalotka, česnek a pór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-151,6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107,4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7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Citrusové plody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-266,2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-441,7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-175,5</w:t>
            </w:r>
          </w:p>
        </w:tc>
      </w:tr>
      <w:tr w:rsidR="009B4B82" w14:paraId="0A26F614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C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Filé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-705,5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0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-606,1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0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99,4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0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950,8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2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-141,7</w:t>
            </w:r>
          </w:p>
        </w:tc>
      </w:tr>
      <w:tr w:rsidR="009B4B82" w14:paraId="0A26F61D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5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Voda, minerálky, slazené sodovky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6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-192,8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7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-102,4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90,4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9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 ap.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B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722,9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-137,1</w:t>
            </w:r>
          </w:p>
        </w:tc>
      </w:tr>
      <w:tr w:rsidR="009B4B82" w14:paraId="0A26F626" w14:textId="77777777">
        <w:trPr>
          <w:trHeight w:val="414"/>
        </w:trPr>
        <w:tc>
          <w:tcPr>
            <w:tcW w:w="107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1E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Brambory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1F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-98,5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0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1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85,2</w:t>
            </w:r>
          </w:p>
        </w:tc>
        <w:tc>
          <w:tcPr>
            <w:tcW w:w="115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2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Slad</w:t>
            </w:r>
          </w:p>
        </w:tc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3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350,6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4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220,7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5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-129,9</w:t>
            </w:r>
          </w:p>
        </w:tc>
      </w:tr>
      <w:tr w:rsidR="009B4B82" w14:paraId="0A26F62F" w14:textId="77777777">
        <w:trPr>
          <w:trHeight w:val="414"/>
        </w:trPr>
        <w:tc>
          <w:tcPr>
            <w:tcW w:w="10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7" w14:textId="77777777" w:rsidR="009B4B82" w:rsidRDefault="00910EE9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Hovězí maso (čerstvé)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8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-248,1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9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-166,3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A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81,8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B" w14:textId="6E1FACC2" w:rsidR="009B4B82" w:rsidRDefault="007755FD" w:rsidP="007755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Ryby (čerstvé a </w:t>
            </w:r>
            <w:r w:rsidR="00910EE9"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chlazené)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C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-504,8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62D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-602,8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6F62E" w14:textId="77777777" w:rsidR="009B4B82" w:rsidRDefault="00910E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-98,1</w:t>
            </w:r>
          </w:p>
        </w:tc>
      </w:tr>
    </w:tbl>
    <w:p w14:paraId="0A26F630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A26F631" w14:textId="77777777" w:rsidR="009B4B82" w:rsidRDefault="00910EE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632" w14:textId="77777777" w:rsidR="009B4B82" w:rsidRDefault="009B4B82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0A26F633" w14:textId="77777777" w:rsidR="009B4B82" w:rsidRDefault="00910EE9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2015 až 2020 podle čtvrtletí (mld. Kč) </w:t>
      </w:r>
    </w:p>
    <w:p w14:paraId="0A26F634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noProof/>
          <w:lang w:bidi="ne-NP"/>
        </w:rPr>
        <w:drawing>
          <wp:inline distT="0" distB="0" distL="0" distR="0" wp14:anchorId="0A26F6B9" wp14:editId="0A26F6BA">
            <wp:extent cx="5759450" cy="2954741"/>
            <wp:effectExtent l="0" t="0" r="12700" b="17145"/>
            <wp:docPr id="2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26F635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(Spojeného království), EU 13 – noví členové EU (od 2004), TZ - třetí (mimounijní) země včetně Spojeného království.</w:t>
      </w:r>
    </w:p>
    <w:p w14:paraId="0A26F636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637" w14:textId="77777777" w:rsidR="009B4B82" w:rsidRDefault="009B4B82">
      <w:pPr>
        <w:spacing w:line="276" w:lineRule="auto"/>
        <w:ind w:firstLine="708"/>
      </w:pPr>
    </w:p>
    <w:p w14:paraId="0A26F638" w14:textId="77777777" w:rsidR="009B4B82" w:rsidRDefault="009B4B82">
      <w:pPr>
        <w:spacing w:line="276" w:lineRule="auto"/>
        <w:ind w:firstLine="708"/>
      </w:pPr>
    </w:p>
    <w:p w14:paraId="0A26F639" w14:textId="77777777" w:rsidR="009B4B82" w:rsidRDefault="00910EE9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5 – Vývoj AZO ČR v letech 2015 až 2020 podle pololetí (mld. Kč)</w:t>
      </w:r>
    </w:p>
    <w:p w14:paraId="0A26F63A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  <w:lang w:bidi="ne-NP"/>
        </w:rPr>
        <w:drawing>
          <wp:inline distT="0" distB="0" distL="0" distR="0" wp14:anchorId="0A26F6BB" wp14:editId="0A26F6BC">
            <wp:extent cx="5759450" cy="1953693"/>
            <wp:effectExtent l="0" t="0" r="0" b="8890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3B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0A26F63C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Databáze pohybu zboží přes hranice ČSÚ, srpen 2020 </w:t>
      </w:r>
    </w:p>
    <w:p w14:paraId="0A26F63D" w14:textId="77777777" w:rsidR="009B4B82" w:rsidRDefault="009B4B8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A26F63E" w14:textId="77777777" w:rsidR="009B4B82" w:rsidRDefault="00910EE9">
      <w:pPr>
        <w:pStyle w:val="TabNadpis"/>
        <w:ind w:left="1276" w:hanging="1276"/>
        <w:rPr>
          <w:noProof/>
        </w:rPr>
      </w:pPr>
      <w:r>
        <w:rPr>
          <w:rFonts w:cs="Arial"/>
          <w:sz w:val="22"/>
        </w:rPr>
        <w:t>Tabulka 6 – Vývoj AZO ČR v letech 2018 až 2020 podle čtvrtletí (mld. Kč)</w:t>
      </w:r>
    </w:p>
    <w:p w14:paraId="0A26F63F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  <w:lang w:bidi="ne-NP"/>
        </w:rPr>
        <w:drawing>
          <wp:inline distT="0" distB="0" distL="0" distR="0" wp14:anchorId="0A26F6BD" wp14:editId="0A26F6BE">
            <wp:extent cx="5759450" cy="2971255"/>
            <wp:effectExtent l="0" t="0" r="0" b="635"/>
            <wp:docPr id="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40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0A26F641" w14:textId="77777777" w:rsidR="009B4B82" w:rsidRDefault="00910EE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srpen 2020</w:t>
      </w:r>
    </w:p>
    <w:p w14:paraId="0A26F642" w14:textId="77777777" w:rsidR="009B4B82" w:rsidRDefault="009B4B82">
      <w:pPr>
        <w:rPr>
          <w:highlight w:val="yellow"/>
        </w:rPr>
      </w:pPr>
    </w:p>
    <w:p w14:paraId="0A26F643" w14:textId="77777777" w:rsidR="009B4B82" w:rsidRDefault="009B4B82">
      <w:pPr>
        <w:rPr>
          <w:highlight w:val="yellow"/>
        </w:rPr>
      </w:pPr>
    </w:p>
    <w:p w14:paraId="0A26F644" w14:textId="77777777" w:rsidR="009B4B82" w:rsidRDefault="009B4B82">
      <w:pPr>
        <w:rPr>
          <w:highlight w:val="yellow"/>
        </w:rPr>
      </w:pPr>
    </w:p>
    <w:p w14:paraId="0A26F645" w14:textId="77777777" w:rsidR="009B4B82" w:rsidRDefault="009B4B82">
      <w:pPr>
        <w:rPr>
          <w:highlight w:val="yellow"/>
        </w:rPr>
      </w:pPr>
    </w:p>
    <w:p w14:paraId="0A26F646" w14:textId="77777777" w:rsidR="009B4B82" w:rsidRDefault="009B4B82">
      <w:pPr>
        <w:rPr>
          <w:highlight w:val="yellow"/>
        </w:rPr>
      </w:pPr>
    </w:p>
    <w:p w14:paraId="0A26F647" w14:textId="77777777" w:rsidR="009B4B82" w:rsidRDefault="009B4B82">
      <w:pPr>
        <w:rPr>
          <w:highlight w:val="yellow"/>
        </w:rPr>
      </w:pPr>
    </w:p>
    <w:p w14:paraId="0A26F648" w14:textId="77777777" w:rsidR="009B4B82" w:rsidRDefault="009B4B82">
      <w:pPr>
        <w:rPr>
          <w:highlight w:val="yellow"/>
        </w:rPr>
      </w:pPr>
    </w:p>
    <w:p w14:paraId="0A26F649" w14:textId="77777777" w:rsidR="009B4B82" w:rsidRDefault="009B4B82">
      <w:pPr>
        <w:rPr>
          <w:highlight w:val="yellow"/>
        </w:rPr>
      </w:pPr>
    </w:p>
    <w:p w14:paraId="0A26F64A" w14:textId="77777777" w:rsidR="009B4B82" w:rsidRDefault="009B4B82">
      <w:pPr>
        <w:pStyle w:val="TabNadpis"/>
        <w:ind w:left="1276" w:hanging="1276"/>
        <w:rPr>
          <w:rFonts w:cs="Arial"/>
          <w:sz w:val="22"/>
        </w:rPr>
      </w:pPr>
    </w:p>
    <w:p w14:paraId="0A26F64B" w14:textId="77777777" w:rsidR="009B4B82" w:rsidRDefault="00910EE9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7 – Vývoj AZO ČR se zeměmi EU 27 v letech 2018 až 2020 podle čtvrtletí (mld. Kč)</w:t>
      </w:r>
    </w:p>
    <w:p w14:paraId="0A26F64C" w14:textId="77777777" w:rsidR="009B4B82" w:rsidRDefault="00910EE9">
      <w:pPr>
        <w:rPr>
          <w:i/>
          <w:sz w:val="18"/>
        </w:rPr>
      </w:pPr>
      <w:r>
        <w:rPr>
          <w:noProof/>
          <w:lang w:eastAsia="cs-CZ"/>
        </w:rPr>
        <w:drawing>
          <wp:inline distT="0" distB="0" distL="0" distR="0" wp14:anchorId="0A26F6BF" wp14:editId="0A26F6C0">
            <wp:extent cx="5759450" cy="2971255"/>
            <wp:effectExtent l="0" t="0" r="0" b="635"/>
            <wp:docPr id="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pohybu zboží přes hranice ČSÚ, srpen 2020</w:t>
      </w:r>
      <w:r>
        <w:rPr>
          <w:i/>
          <w:sz w:val="18"/>
        </w:rPr>
        <w:t xml:space="preserve"> </w:t>
      </w:r>
    </w:p>
    <w:p w14:paraId="0A26F64D" w14:textId="77777777" w:rsidR="009B4B82" w:rsidRDefault="009B4B82">
      <w:pPr>
        <w:rPr>
          <w:i/>
          <w:sz w:val="18"/>
        </w:rPr>
      </w:pPr>
    </w:p>
    <w:p w14:paraId="0A26F64E" w14:textId="77777777" w:rsidR="009B4B82" w:rsidRDefault="009B4B82">
      <w:pPr>
        <w:rPr>
          <w:i/>
          <w:sz w:val="16"/>
          <w:szCs w:val="16"/>
        </w:rPr>
      </w:pPr>
    </w:p>
    <w:p w14:paraId="0A26F64F" w14:textId="77777777" w:rsidR="009B4B82" w:rsidRDefault="00910EE9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2018 až 2020 podle čtvrtletí (mld. Kč)</w:t>
      </w:r>
    </w:p>
    <w:p w14:paraId="0A26F650" w14:textId="77777777" w:rsidR="009B4B82" w:rsidRDefault="00910EE9">
      <w:pPr>
        <w:rPr>
          <w:i/>
          <w:sz w:val="18"/>
        </w:rPr>
      </w:pPr>
      <w:bookmarkStart w:id="2" w:name="_Toc417464156"/>
      <w:r>
        <w:rPr>
          <w:noProof/>
          <w:lang w:eastAsia="cs-CZ"/>
        </w:rPr>
        <w:drawing>
          <wp:inline distT="0" distB="0" distL="0" distR="0" wp14:anchorId="0A26F6C1" wp14:editId="0A26F6C2">
            <wp:extent cx="5759450" cy="2971255"/>
            <wp:effectExtent l="0" t="0" r="0" b="635"/>
            <wp:docPr id="6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pohybu zboží přes hranice ČSÚ, srpen 2020</w:t>
      </w:r>
      <w:r>
        <w:rPr>
          <w:i/>
          <w:sz w:val="18"/>
        </w:rPr>
        <w:t xml:space="preserve"> </w:t>
      </w:r>
    </w:p>
    <w:p w14:paraId="0A26F651" w14:textId="77777777" w:rsidR="009B4B82" w:rsidRDefault="009B4B82">
      <w:pPr>
        <w:rPr>
          <w:i/>
          <w:sz w:val="16"/>
          <w:szCs w:val="16"/>
        </w:rPr>
      </w:pPr>
    </w:p>
    <w:p w14:paraId="0A26F652" w14:textId="77777777" w:rsidR="009B4B82" w:rsidRDefault="009B4B82">
      <w:pPr>
        <w:rPr>
          <w:i/>
          <w:sz w:val="16"/>
          <w:szCs w:val="16"/>
        </w:rPr>
      </w:pPr>
    </w:p>
    <w:p w14:paraId="0A26F653" w14:textId="77777777" w:rsidR="009B4B82" w:rsidRDefault="009B4B82">
      <w:pPr>
        <w:rPr>
          <w:i/>
          <w:sz w:val="16"/>
          <w:szCs w:val="16"/>
        </w:rPr>
      </w:pPr>
    </w:p>
    <w:p w14:paraId="0A26F654" w14:textId="77777777" w:rsidR="009B4B82" w:rsidRDefault="009B4B82">
      <w:pPr>
        <w:rPr>
          <w:i/>
          <w:sz w:val="16"/>
          <w:szCs w:val="16"/>
        </w:rPr>
      </w:pPr>
    </w:p>
    <w:p w14:paraId="0A26F655" w14:textId="77777777" w:rsidR="009B4B82" w:rsidRDefault="009B4B82">
      <w:pPr>
        <w:rPr>
          <w:i/>
          <w:sz w:val="16"/>
          <w:szCs w:val="16"/>
        </w:rPr>
      </w:pPr>
    </w:p>
    <w:p w14:paraId="0A26F656" w14:textId="77777777" w:rsidR="009B4B82" w:rsidRDefault="00910EE9">
      <w:pPr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0A26F657" w14:textId="77777777" w:rsidR="009B4B82" w:rsidRDefault="009B4B82">
      <w:pPr>
        <w:rPr>
          <w:i/>
          <w:sz w:val="16"/>
          <w:szCs w:val="16"/>
        </w:rPr>
      </w:pPr>
    </w:p>
    <w:p w14:paraId="0A26F658" w14:textId="77777777" w:rsidR="009B4B82" w:rsidRDefault="009B4B82">
      <w:pPr>
        <w:ind w:left="851" w:hanging="851"/>
        <w:rPr>
          <w:rFonts w:eastAsia="Times New Roman"/>
          <w:b/>
          <w:szCs w:val="20"/>
          <w:lang w:eastAsia="cs-CZ"/>
        </w:rPr>
      </w:pPr>
    </w:p>
    <w:p w14:paraId="0A26F659" w14:textId="77777777" w:rsidR="009B4B82" w:rsidRDefault="00910EE9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2015 až 2020 podle čtvrtletí (mld. Kč)</w:t>
      </w:r>
      <w:bookmarkEnd w:id="2"/>
    </w:p>
    <w:p w14:paraId="0A26F65A" w14:textId="77777777" w:rsidR="009B4B82" w:rsidRDefault="00910EE9">
      <w:pPr>
        <w:rPr>
          <w:rFonts w:eastAsia="Times New Roman"/>
          <w:b/>
          <w:noProof/>
          <w:szCs w:val="20"/>
          <w:lang w:eastAsia="cs-CZ"/>
        </w:rPr>
      </w:pPr>
      <w:bookmarkStart w:id="3" w:name="_Toc417464157"/>
      <w:r>
        <w:rPr>
          <w:noProof/>
          <w:lang w:eastAsia="cs-CZ"/>
        </w:rPr>
        <w:drawing>
          <wp:inline distT="0" distB="0" distL="0" distR="0" wp14:anchorId="0A26F6C3" wp14:editId="0A26F6C4">
            <wp:extent cx="5759450" cy="2992755"/>
            <wp:effectExtent l="0" t="0" r="0" b="0"/>
            <wp:docPr id="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5B" w14:textId="77777777" w:rsidR="009B4B82" w:rsidRDefault="00910EE9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2020</w:t>
      </w:r>
    </w:p>
    <w:p w14:paraId="0A26F65C" w14:textId="77777777" w:rsidR="009B4B82" w:rsidRDefault="009B4B82">
      <w:pPr>
        <w:rPr>
          <w:b/>
          <w:sz w:val="18"/>
          <w:highlight w:val="yellow"/>
        </w:rPr>
      </w:pPr>
    </w:p>
    <w:p w14:paraId="0A26F65D" w14:textId="77777777" w:rsidR="009B4B82" w:rsidRDefault="00910EE9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3"/>
      <w:r>
        <w:rPr>
          <w:rFonts w:cs="Arial"/>
          <w:sz w:val="22"/>
          <w:szCs w:val="22"/>
        </w:rPr>
        <w:t>v letech 2015 až 2020 podle čtvrtletí (mld. Kč)</w:t>
      </w:r>
    </w:p>
    <w:p w14:paraId="0A26F65E" w14:textId="77777777" w:rsidR="009B4B82" w:rsidRDefault="00910EE9">
      <w:pPr>
        <w:rPr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0A26F6C5" wp14:editId="0A26F6C6">
            <wp:extent cx="5759450" cy="3291205"/>
            <wp:effectExtent l="0" t="0" r="0" b="4445"/>
            <wp:docPr id="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5F" w14:textId="77777777" w:rsidR="009B4B82" w:rsidRDefault="00910EE9">
      <w:pPr>
        <w:rPr>
          <w:i/>
          <w:sz w:val="18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Cs w:val="16"/>
        </w:rPr>
        <w:t xml:space="preserve"> </w:t>
      </w:r>
    </w:p>
    <w:p w14:paraId="0A26F660" w14:textId="77777777" w:rsidR="009B4B82" w:rsidRDefault="009B4B82"/>
    <w:p w14:paraId="0A26F661" w14:textId="77777777" w:rsidR="009B4B82" w:rsidRDefault="009B4B82">
      <w:pPr>
        <w:rPr>
          <w:highlight w:val="yellow"/>
        </w:rPr>
      </w:pPr>
    </w:p>
    <w:p w14:paraId="0A26F662" w14:textId="77777777" w:rsidR="009B4B82" w:rsidRDefault="00910EE9">
      <w:pPr>
        <w:jc w:val="left"/>
        <w:rPr>
          <w:sz w:val="24"/>
        </w:rPr>
      </w:pPr>
      <w:r>
        <w:rPr>
          <w:sz w:val="24"/>
        </w:rPr>
        <w:br w:type="page"/>
      </w:r>
    </w:p>
    <w:p w14:paraId="0A26F663" w14:textId="77777777" w:rsidR="009B4B82" w:rsidRDefault="00910EE9">
      <w:pPr>
        <w:rPr>
          <w:b/>
        </w:rPr>
      </w:pPr>
      <w:r>
        <w:rPr>
          <w:b/>
        </w:rPr>
        <w:lastRenderedPageBreak/>
        <w:t>Graf 4 – Přehled 10 zemí s nejvyšším podílem na vývozu agrárního zboží z ČR do EU v roce 2019 (vlevo) a v 1. pololetí 2020 (vpravo)</w:t>
      </w:r>
    </w:p>
    <w:p w14:paraId="0A26F664" w14:textId="77777777" w:rsidR="009B4B82" w:rsidRDefault="00910EE9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A26F6C7" wp14:editId="0A26F6C8">
            <wp:extent cx="6127115" cy="2895600"/>
            <wp:effectExtent l="0" t="0" r="6985" b="0"/>
            <wp:docPr id="9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65" w14:textId="77777777" w:rsidR="009B4B82" w:rsidRDefault="00910EE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srpen 2020 </w:t>
      </w:r>
    </w:p>
    <w:p w14:paraId="0A26F666" w14:textId="77777777" w:rsidR="009B4B82" w:rsidRDefault="009B4B82">
      <w:pPr>
        <w:rPr>
          <w:b/>
        </w:rPr>
      </w:pPr>
    </w:p>
    <w:p w14:paraId="0A26F667" w14:textId="77777777" w:rsidR="009B4B82" w:rsidRDefault="00910EE9">
      <w:pPr>
        <w:rPr>
          <w:b/>
        </w:rPr>
      </w:pPr>
      <w:r>
        <w:rPr>
          <w:b/>
        </w:rPr>
        <w:t>Graf 5 – Přehled 10 zemí s nejvyšším podílem na vývozu agrárního zboží z ČR do třetích zemí v roce 2019 (vlevo) a v 1. pololetí 2020 (vpravo)</w:t>
      </w:r>
    </w:p>
    <w:p w14:paraId="0A26F668" w14:textId="77777777" w:rsidR="009B4B82" w:rsidRDefault="00910EE9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A26F6C9" wp14:editId="0A26F6CA">
            <wp:extent cx="6132830" cy="2895600"/>
            <wp:effectExtent l="0" t="0" r="1270" b="0"/>
            <wp:docPr id="10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69" w14:textId="77777777" w:rsidR="009B4B82" w:rsidRDefault="00910EE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srpen 2020 </w:t>
      </w:r>
    </w:p>
    <w:p w14:paraId="0A26F66A" w14:textId="77777777" w:rsidR="009B4B82" w:rsidRDefault="009B4B82">
      <w:pPr>
        <w:rPr>
          <w:b/>
        </w:rPr>
      </w:pPr>
    </w:p>
    <w:p w14:paraId="0A26F66B" w14:textId="77777777" w:rsidR="009B4B82" w:rsidRDefault="00910EE9">
      <w:pPr>
        <w:jc w:val="left"/>
        <w:rPr>
          <w:b/>
        </w:rPr>
      </w:pPr>
      <w:r>
        <w:rPr>
          <w:b/>
        </w:rPr>
        <w:br w:type="page"/>
      </w:r>
    </w:p>
    <w:p w14:paraId="0A26F66C" w14:textId="77777777" w:rsidR="009B4B82" w:rsidRDefault="00910EE9">
      <w:pPr>
        <w:rPr>
          <w:b/>
        </w:rPr>
      </w:pPr>
      <w:r>
        <w:rPr>
          <w:b/>
        </w:rPr>
        <w:lastRenderedPageBreak/>
        <w:t>Graf 6 – Přehled 10 zemí s nejvyšším podílem na dovozu agrárního zboží z EU do ČR v roce 2019 (vlevo) a v 1. pololetí 2020 (vpravo)</w:t>
      </w:r>
    </w:p>
    <w:p w14:paraId="0A26F66D" w14:textId="77777777" w:rsidR="009B4B82" w:rsidRDefault="00910EE9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A26F6CB" wp14:editId="0A26F6CC">
            <wp:extent cx="5925801" cy="2794958"/>
            <wp:effectExtent l="0" t="0" r="0" b="5715"/>
            <wp:docPr id="1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01" cy="279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6E" w14:textId="77777777" w:rsidR="009B4B82" w:rsidRDefault="00910EE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srpen 2020 </w:t>
      </w:r>
    </w:p>
    <w:p w14:paraId="0A26F66F" w14:textId="77777777" w:rsidR="009B4B82" w:rsidRDefault="009B4B82">
      <w:pPr>
        <w:rPr>
          <w:b/>
        </w:rPr>
      </w:pPr>
    </w:p>
    <w:p w14:paraId="0A26F670" w14:textId="77777777" w:rsidR="009B4B82" w:rsidRDefault="00910EE9">
      <w:pPr>
        <w:rPr>
          <w:b/>
        </w:rPr>
      </w:pPr>
      <w:r>
        <w:rPr>
          <w:b/>
        </w:rPr>
        <w:t>Graf 7 - Přehled 10 zemí s nejvyšším podílem na dovozu agrárního zboží z třetích zemí do ČR v roce 2019 (vlevo) a v 1. pololetí 2020 (vpravo)</w:t>
      </w:r>
    </w:p>
    <w:p w14:paraId="0A26F671" w14:textId="77777777" w:rsidR="009B4B82" w:rsidRDefault="00910EE9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A26F6CD" wp14:editId="0A26F6CE">
            <wp:extent cx="6127115" cy="2895600"/>
            <wp:effectExtent l="0" t="0" r="6985" b="0"/>
            <wp:docPr id="12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72" w14:textId="77777777" w:rsidR="009B4B82" w:rsidRDefault="00910EE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srpen 2020 </w:t>
      </w:r>
    </w:p>
    <w:p w14:paraId="0A26F673" w14:textId="77777777" w:rsidR="009B4B82" w:rsidRDefault="009B4B82">
      <w:pPr>
        <w:spacing w:line="276" w:lineRule="auto"/>
        <w:ind w:firstLine="709"/>
      </w:pPr>
    </w:p>
    <w:p w14:paraId="0A26F674" w14:textId="77777777" w:rsidR="009B4B82" w:rsidRDefault="00910EE9">
      <w:pPr>
        <w:spacing w:line="276" w:lineRule="auto"/>
        <w:ind w:firstLine="708"/>
      </w:pPr>
      <w:r>
        <w:t>Údaje o zahraničním obchodu za 1. pololetí 2020 zveřejnil Český statistický úřad 6. srpna 2020. Data za 1. pololetí roku 2020, ale i rok 2019 jsou předběžná.</w:t>
      </w:r>
    </w:p>
    <w:p w14:paraId="0A26F675" w14:textId="77777777" w:rsidR="009B4B82" w:rsidRDefault="00910EE9">
      <w:pPr>
        <w:spacing w:after="240" w:line="276" w:lineRule="auto"/>
        <w:ind w:firstLine="708"/>
      </w:pPr>
      <w:r>
        <w:t>Materiál zpracoval odbor 17120 na základě aktuálních statistických údajů ČSÚ a podkladů ÚZEI (TÚ č. 35/2020).</w:t>
      </w:r>
    </w:p>
    <w:p w14:paraId="0A26F676" w14:textId="77777777" w:rsidR="009B4B82" w:rsidRDefault="00910EE9">
      <w:pPr>
        <w:spacing w:after="240" w:line="276" w:lineRule="auto"/>
        <w:ind w:firstLine="708"/>
      </w:pPr>
      <w:r>
        <w:t>Dne 10. srpna 2020</w:t>
      </w:r>
    </w:p>
    <w:p w14:paraId="0A26F677" w14:textId="77777777" w:rsidR="009B4B82" w:rsidRDefault="00910EE9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14:paraId="0A26F678" w14:textId="77777777" w:rsidR="009B4B82" w:rsidRDefault="009B4B82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0A26F679" w14:textId="77777777" w:rsidR="009B4B82" w:rsidRDefault="00910EE9">
      <w:pPr>
        <w:pStyle w:val="Styl2"/>
        <w:numPr>
          <w:ilvl w:val="0"/>
          <w:numId w:val="3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0A26F67A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2015 až 2020</w:t>
      </w:r>
    </w:p>
    <w:p w14:paraId="0A26F67B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2015 až 2020</w:t>
      </w:r>
    </w:p>
    <w:p w14:paraId="0A26F67C" w14:textId="77777777" w:rsidR="009B4B82" w:rsidRDefault="009B4B82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0A26F67D" w14:textId="77777777" w:rsidR="009B4B82" w:rsidRDefault="00910EE9">
      <w:pPr>
        <w:pStyle w:val="Styl2"/>
        <w:numPr>
          <w:ilvl w:val="0"/>
          <w:numId w:val="3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A26F67E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2015 až 2020</w:t>
      </w:r>
    </w:p>
    <w:p w14:paraId="0A26F67F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2015 až 2020</w:t>
      </w:r>
    </w:p>
    <w:p w14:paraId="0A26F680" w14:textId="77777777" w:rsidR="009B4B82" w:rsidRDefault="009B4B82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14:paraId="0A26F681" w14:textId="77777777" w:rsidR="009B4B82" w:rsidRDefault="00910EE9">
      <w:pPr>
        <w:pStyle w:val="Styl2"/>
        <w:numPr>
          <w:ilvl w:val="0"/>
          <w:numId w:val="3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14:paraId="0A26F682" w14:textId="77777777" w:rsidR="009B4B82" w:rsidRDefault="00910EE9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2015 až 2020</w:t>
      </w:r>
    </w:p>
    <w:p w14:paraId="0A26F683" w14:textId="77777777" w:rsidR="009B4B82" w:rsidRDefault="00910EE9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2015 až 2020</w:t>
      </w:r>
    </w:p>
    <w:p w14:paraId="0A26F684" w14:textId="77777777" w:rsidR="009B4B82" w:rsidRDefault="009B4B82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14:paraId="0A26F685" w14:textId="77777777" w:rsidR="009B4B82" w:rsidRDefault="00910EE9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Pozn.: Komodity definované 4-místným kódem HS jsou do tabulek 1 až 3 vybrány na základě hodnot vývozů a dovozů ve finančním vyjádření za období roku 2015 až 1. pololetí roku 2020 a řazeny jsou podle roku 2019. Data jsou na této úrovni HS bez dopočtů.</w:t>
      </w:r>
    </w:p>
    <w:p w14:paraId="0A26F686" w14:textId="77777777" w:rsidR="009B4B82" w:rsidRDefault="009B4B82">
      <w:pPr>
        <w:rPr>
          <w:i/>
        </w:rPr>
      </w:pPr>
    </w:p>
    <w:p w14:paraId="0A26F687" w14:textId="77777777" w:rsidR="009B4B82" w:rsidRDefault="00910EE9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0A26F688" w14:textId="77777777" w:rsidR="009B4B82" w:rsidRDefault="00910EE9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0A26F689" w14:textId="77777777" w:rsidR="009B4B82" w:rsidRDefault="009B4B82">
      <w:pPr>
        <w:rPr>
          <w:b/>
        </w:rPr>
      </w:pPr>
    </w:p>
    <w:p w14:paraId="0A26F68A" w14:textId="77777777" w:rsidR="009B4B82" w:rsidRDefault="00910EE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0A26F68B" w14:textId="77777777" w:rsidR="009B4B82" w:rsidRDefault="009B4B82">
      <w:pPr>
        <w:pStyle w:val="Styl2"/>
        <w:rPr>
          <w:rFonts w:cs="Arial"/>
          <w:b w:val="0"/>
          <w:i/>
          <w:sz w:val="24"/>
          <w:szCs w:val="24"/>
        </w:rPr>
        <w:sectPr w:rsidR="009B4B82">
          <w:headerReference w:type="even" r:id="rId18"/>
          <w:footerReference w:type="default" r:id="rId19"/>
          <w:footerReference w:type="first" r:id="rId2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A26F68C" w14:textId="77777777" w:rsidR="009B4B82" w:rsidRDefault="00910EE9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0A26F68D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2015 až 2020</w:t>
      </w:r>
    </w:p>
    <w:p w14:paraId="0A26F68E" w14:textId="77777777" w:rsidR="009B4B82" w:rsidRDefault="00910EE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26F6CF" wp14:editId="0A26F6D0">
            <wp:extent cx="8891270" cy="4412807"/>
            <wp:effectExtent l="0" t="0" r="5080" b="6985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8F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2015 až 1. pololetí roku 2020 a řazeny podle roku 2019. </w:t>
      </w:r>
      <w:r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0A26F690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91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2015 až 2020</w:t>
      </w:r>
    </w:p>
    <w:p w14:paraId="0A26F692" w14:textId="77777777" w:rsidR="009B4B82" w:rsidRDefault="00910EE9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0A26F6D1" wp14:editId="0A26F6D2">
            <wp:extent cx="8891270" cy="4412807"/>
            <wp:effectExtent l="0" t="0" r="5080" b="6985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93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2015 až 1. pololetí roku 2020 a řazeny podle roku 2019.</w:t>
      </w:r>
    </w:p>
    <w:p w14:paraId="0A26F694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názvů: HS 1905 pekařské zboží vč. sušenek a oplatek, HS 2402 cigarety vč. doutníků a doutníčků a HS 2106 potravinové přípravky jiné.</w:t>
      </w:r>
    </w:p>
    <w:p w14:paraId="0A26F695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Zdroj: </w:t>
      </w:r>
      <w:r>
        <w:rPr>
          <w:i/>
          <w:sz w:val="16"/>
          <w:szCs w:val="16"/>
        </w:rPr>
        <w:t>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96" w14:textId="77777777" w:rsidR="009B4B82" w:rsidRDefault="00910EE9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A26F697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2015 až 2020</w:t>
      </w:r>
    </w:p>
    <w:p w14:paraId="0A26F698" w14:textId="77777777" w:rsidR="009B4B82" w:rsidRDefault="00910EE9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0A26F6D3" wp14:editId="0A26F6D4">
            <wp:extent cx="8891270" cy="4412807"/>
            <wp:effectExtent l="0" t="0" r="5080" b="6985"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99" w14:textId="77777777" w:rsidR="009B4B82" w:rsidRDefault="00910EE9">
      <w:r>
        <w:rPr>
          <w:i/>
          <w:iCs/>
          <w:sz w:val="16"/>
          <w:szCs w:val="16"/>
        </w:rPr>
        <w:t>Pozn.: Komodity (na základě 4-místného kódu HS) jsou vybrány na základě hodnoty vývozu v mil. Kč za období 2015 až 1. pololetí roku 2020 a řazeny podle roku 2019.</w:t>
      </w:r>
      <w:r>
        <w:rPr>
          <w:i/>
          <w:sz w:val="16"/>
          <w:szCs w:val="16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Zdroj: Databáze pohybu zboží přes hranice ČSÚ, srpen 2020</w:t>
      </w:r>
      <w:r>
        <w:rPr>
          <w:b/>
          <w:szCs w:val="16"/>
        </w:rPr>
        <w:t xml:space="preserve"> </w:t>
      </w:r>
      <w:r>
        <w:rPr>
          <w:i/>
          <w:sz w:val="16"/>
          <w:szCs w:val="16"/>
        </w:rPr>
        <w:br w:type="page"/>
      </w:r>
      <w:r>
        <w:rPr>
          <w:rFonts w:eastAsia="Times New Roman"/>
          <w:b/>
          <w:lang w:eastAsia="cs-CZ"/>
        </w:rPr>
        <w:lastRenderedPageBreak/>
        <w:t>Tabulka – Vývoj dovozu 10 nejvíce dovážených agrárních položek z EU 27 do ČR v roce 2015 až 2020</w:t>
      </w:r>
    </w:p>
    <w:p w14:paraId="0A26F69A" w14:textId="77777777" w:rsidR="009B4B82" w:rsidRDefault="00910EE9">
      <w:pPr>
        <w:spacing w:line="240" w:lineRule="atLeast"/>
        <w:contextualSpacing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26F6D5" wp14:editId="0A26F6D6">
            <wp:extent cx="8891270" cy="4412807"/>
            <wp:effectExtent l="0" t="0" r="5080" b="6985"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9B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2015 až 1. pololetí roku 2020 a řazeny podle roku 2019. </w:t>
      </w:r>
      <w:r>
        <w:rPr>
          <w:i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14:paraId="0A26F69C" w14:textId="77777777" w:rsidR="009B4B82" w:rsidRDefault="00910EE9">
      <w:pPr>
        <w:contextualSpacing/>
        <w:rPr>
          <w:u w:val="single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Cs w:val="16"/>
        </w:rPr>
        <w:t xml:space="preserve"> </w:t>
      </w:r>
      <w:r>
        <w:rPr>
          <w:b/>
          <w:i/>
          <w:sz w:val="16"/>
          <w:szCs w:val="16"/>
        </w:rPr>
        <w:br w:type="page"/>
      </w:r>
      <w:r>
        <w:rPr>
          <w:b/>
          <w:u w:val="single"/>
        </w:rPr>
        <w:lastRenderedPageBreak/>
        <w:t>3</w:t>
      </w:r>
      <w:r>
        <w:rPr>
          <w:rFonts w:eastAsia="Times New Roman"/>
          <w:b/>
          <w:iCs/>
          <w:color w:val="000000"/>
          <w:u w:val="single"/>
          <w:lang w:eastAsia="cs-CZ"/>
        </w:rPr>
        <w:t>) Zahraniční obchod ČR – mimounijní země (včetně Spojeného království)</w:t>
      </w:r>
    </w:p>
    <w:p w14:paraId="0A26F69D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2015 až 2020</w:t>
      </w:r>
    </w:p>
    <w:p w14:paraId="0A26F69E" w14:textId="77777777" w:rsidR="009B4B82" w:rsidRDefault="00910EE9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0A26F6D7" wp14:editId="0A26F6D8">
            <wp:extent cx="8891270" cy="4412807"/>
            <wp:effectExtent l="0" t="0" r="5080" b="6985"/>
            <wp:docPr id="1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9F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2015 až 1. pololetí roku 2020 a řazeny podle roku 2019.</w:t>
      </w:r>
    </w:p>
    <w:p w14:paraId="0A26F6A0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2402 cigarety vč. doutníků a doutníčků, HS 1302 pektiny vč. rostlinných šťáv a výtažků a HS 2106 potravinové přípravky jiné; včetně Spojeného království.</w:t>
      </w:r>
    </w:p>
    <w:p w14:paraId="0A26F6A1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A2" w14:textId="77777777" w:rsidR="009B4B82" w:rsidRDefault="00910EE9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2015 až 2020</w:t>
      </w:r>
    </w:p>
    <w:p w14:paraId="0A26F6A3" w14:textId="42BD1405" w:rsidR="009B4B82" w:rsidRDefault="00910EE9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0A26F6D9" wp14:editId="0A26F6DA">
            <wp:extent cx="8891270" cy="4412807"/>
            <wp:effectExtent l="0" t="0" r="5080" b="6985"/>
            <wp:docPr id="1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  <w:szCs w:val="16"/>
        </w:rPr>
        <w:t xml:space="preserve"> </w:t>
      </w:r>
    </w:p>
    <w:p w14:paraId="0A26F6A4" w14:textId="77777777" w:rsidR="009B4B82" w:rsidRDefault="00910EE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2015 až 1. čtvrtletí roku 2020 a řazeny podle roku 2019.</w:t>
      </w:r>
    </w:p>
    <w:p w14:paraId="0A26F6A5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nezpracovaný; včetně Spojeného království.</w:t>
      </w:r>
    </w:p>
    <w:p w14:paraId="0A26F6A6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A7" w14:textId="77777777" w:rsidR="009B4B82" w:rsidRDefault="009B4B82">
      <w:pPr>
        <w:contextualSpacing/>
        <w:sectPr w:rsidR="009B4B82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0A26F6A8" w14:textId="77777777" w:rsidR="009B4B82" w:rsidRDefault="00910EE9">
      <w:pPr>
        <w:pStyle w:val="Nadpis3"/>
        <w:jc w:val="left"/>
        <w:rPr>
          <w:szCs w:val="22"/>
        </w:rPr>
      </w:pPr>
      <w:bookmarkStart w:id="4" w:name="_Toc413330137"/>
      <w:r>
        <w:rPr>
          <w:szCs w:val="22"/>
        </w:rPr>
        <w:lastRenderedPageBreak/>
        <w:t>4) Pořadí zemí dle hodnoty agrárního vývozu z ČR</w:t>
      </w:r>
      <w:bookmarkEnd w:id="4"/>
      <w:r>
        <w:rPr>
          <w:szCs w:val="22"/>
        </w:rPr>
        <w:t xml:space="preserve"> </w:t>
      </w:r>
    </w:p>
    <w:p w14:paraId="0A26F6A9" w14:textId="77777777" w:rsidR="009B4B82" w:rsidRDefault="00910EE9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A26F6DB" wp14:editId="0A26F6DC">
            <wp:extent cx="5760720" cy="6440302"/>
            <wp:effectExtent l="0" t="0" r="0" b="0"/>
            <wp:docPr id="1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AA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 28, řazeno podle roku 2019.</w:t>
      </w:r>
    </w:p>
    <w:p w14:paraId="0A26F6AB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vývozu 98,4 %.</w:t>
      </w:r>
    </w:p>
    <w:p w14:paraId="0A26F6AC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AD" w14:textId="77777777" w:rsidR="009B4B82" w:rsidRDefault="009B4B82"/>
    <w:p w14:paraId="0A26F6AE" w14:textId="77777777" w:rsidR="009B4B82" w:rsidRDefault="00910EE9">
      <w:pPr>
        <w:pStyle w:val="Nadpis3"/>
        <w:jc w:val="left"/>
        <w:rPr>
          <w:szCs w:val="22"/>
        </w:rPr>
      </w:pPr>
      <w:bookmarkStart w:id="5" w:name="_Toc384374704"/>
      <w:r>
        <w:rPr>
          <w:b/>
          <w:bCs/>
          <w:color w:val="000000"/>
          <w:sz w:val="18"/>
          <w:szCs w:val="18"/>
        </w:rPr>
        <w:br w:type="page"/>
      </w:r>
      <w:bookmarkStart w:id="6" w:name="_Toc413330138"/>
      <w:r>
        <w:rPr>
          <w:szCs w:val="22"/>
        </w:rPr>
        <w:lastRenderedPageBreak/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5"/>
      <w:bookmarkEnd w:id="6"/>
      <w:r>
        <w:rPr>
          <w:szCs w:val="22"/>
        </w:rPr>
        <w:t xml:space="preserve">  </w:t>
      </w:r>
    </w:p>
    <w:p w14:paraId="0A26F6AF" w14:textId="77777777" w:rsidR="009B4B82" w:rsidRDefault="00910EE9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A26F6DD" wp14:editId="0A26F6DE">
            <wp:extent cx="5760720" cy="6544365"/>
            <wp:effectExtent l="0" t="0" r="0" b="8890"/>
            <wp:docPr id="2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F6B0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 28, řazeno podle roku 2019.</w:t>
      </w:r>
    </w:p>
    <w:p w14:paraId="0A26F6B1" w14:textId="77777777" w:rsidR="009B4B82" w:rsidRDefault="00910EE9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dovozu 96,4 %.</w:t>
      </w:r>
    </w:p>
    <w:p w14:paraId="0A26F6B2" w14:textId="77777777" w:rsidR="009B4B82" w:rsidRDefault="00910EE9">
      <w:pPr>
        <w:contextualSpacing/>
      </w:pPr>
      <w:r>
        <w:rPr>
          <w:i/>
          <w:sz w:val="16"/>
          <w:szCs w:val="16"/>
        </w:rPr>
        <w:t>Zdroj: Databáze pohybu zboží přes hranice ČSÚ, srpen 2020</w:t>
      </w:r>
      <w:r>
        <w:rPr>
          <w:b/>
          <w:sz w:val="16"/>
          <w:szCs w:val="16"/>
        </w:rPr>
        <w:t xml:space="preserve"> </w:t>
      </w:r>
    </w:p>
    <w:p w14:paraId="0A26F6B3" w14:textId="77777777" w:rsidR="009B4B82" w:rsidRDefault="009B4B82"/>
    <w:bookmarkEnd w:id="0"/>
    <w:p w14:paraId="0A26F6B4" w14:textId="77777777" w:rsidR="009B4B82" w:rsidRDefault="009B4B82">
      <w:pPr>
        <w:jc w:val="center"/>
      </w:pPr>
    </w:p>
    <w:p w14:paraId="0A26F6B5" w14:textId="77777777" w:rsidR="009B4B82" w:rsidRDefault="009B4B82">
      <w:pPr>
        <w:rPr>
          <w:szCs w:val="22"/>
        </w:rPr>
      </w:pPr>
    </w:p>
    <w:sectPr w:rsidR="009B4B82">
      <w:headerReference w:type="even" r:id="rId29"/>
      <w:headerReference w:type="default" r:id="rId30"/>
      <w:footerReference w:type="default" r:id="rId31"/>
      <w:headerReference w:type="first" r:id="rId3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F3713" w14:textId="77777777" w:rsidR="00EC0EC5" w:rsidRDefault="00EC0EC5">
      <w:r>
        <w:separator/>
      </w:r>
    </w:p>
  </w:endnote>
  <w:endnote w:type="continuationSeparator" w:id="0">
    <w:p w14:paraId="6E15BC1E" w14:textId="77777777" w:rsidR="00EC0EC5" w:rsidRDefault="00E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3" w14:textId="77777777" w:rsidR="00910EE9" w:rsidRDefault="00910EE9">
    <w:pPr>
      <w:pStyle w:val="Zpat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 xml:space="preserve"> PAGE   \* MERGEFORMAT </w:instrText>
    </w:r>
    <w:r>
      <w:rPr>
        <w:rFonts w:ascii="Times New Roman" w:eastAsia="Times New Roman" w:hAnsi="Times New Roman"/>
      </w:rPr>
      <w:fldChar w:fldCharType="separate"/>
    </w:r>
    <w:r w:rsidR="00B55D27">
      <w:rPr>
        <w:rFonts w:ascii="Times New Roman" w:eastAsia="Times New Roman" w:hAnsi="Times New Roman"/>
        <w:noProof/>
      </w:rPr>
      <w:t>2</w:t>
    </w:r>
    <w:r>
      <w:rPr>
        <w:rFonts w:ascii="Times New Roman" w:eastAsia="Times New Roman" w:hAnsi="Times New Roman"/>
      </w:rPr>
      <w:fldChar w:fldCharType="end"/>
    </w:r>
  </w:p>
  <w:p w14:paraId="0A26F6E4" w14:textId="77777777" w:rsidR="00910EE9" w:rsidRDefault="00910E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17313"/>
      <w:docPartObj>
        <w:docPartGallery w:val="Page Numbers (Bottom of Page)"/>
        <w:docPartUnique/>
      </w:docPartObj>
    </w:sdtPr>
    <w:sdtContent>
      <w:p w14:paraId="55942A94" w14:textId="13CE7607" w:rsidR="00910EE9" w:rsidRDefault="00910E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27">
          <w:rPr>
            <w:noProof/>
          </w:rPr>
          <w:t>1</w:t>
        </w:r>
        <w:r>
          <w:fldChar w:fldCharType="end"/>
        </w:r>
      </w:p>
    </w:sdtContent>
  </w:sdt>
  <w:p w14:paraId="4B0937CB" w14:textId="3133490F" w:rsidR="00910EE9" w:rsidRDefault="00910EE9" w:rsidP="006229FC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8" w14:textId="77777777" w:rsidR="00910EE9" w:rsidRDefault="00910EE9">
    <w:pPr>
      <w:pStyle w:val="Zpat"/>
    </w:pPr>
    <w:fldSimple w:instr=" DOCVARIABLE  dms_cj  \* MERGEFORMAT ">
      <w:r w:rsidRPr="00910EE9">
        <w:rPr>
          <w:bCs/>
        </w:rPr>
        <w:t>41826/2020-MZE-17123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B55D27">
      <w:rPr>
        <w:noProof/>
      </w:rPr>
      <w:t>19</w:t>
    </w:r>
    <w:r>
      <w:fldChar w:fldCharType="end"/>
    </w:r>
  </w:p>
  <w:p w14:paraId="0A26F6E9" w14:textId="77777777" w:rsidR="00910EE9" w:rsidRDefault="00910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50714" w14:textId="77777777" w:rsidR="00EC0EC5" w:rsidRDefault="00EC0EC5">
      <w:r>
        <w:separator/>
      </w:r>
    </w:p>
  </w:footnote>
  <w:footnote w:type="continuationSeparator" w:id="0">
    <w:p w14:paraId="0881A690" w14:textId="77777777" w:rsidR="00EC0EC5" w:rsidRDefault="00EC0EC5">
      <w:r>
        <w:continuationSeparator/>
      </w:r>
    </w:p>
  </w:footnote>
  <w:footnote w:id="1">
    <w:p w14:paraId="0A26F6F1" w14:textId="77777777" w:rsidR="00910EE9" w:rsidRDefault="00910EE9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14:paraId="0A26F6F2" w14:textId="77777777" w:rsidR="00910EE9" w:rsidRDefault="00910EE9">
      <w:pPr>
        <w:pStyle w:val="Textpoznpodarou"/>
      </w:pPr>
      <w:r>
        <w:rPr>
          <w:rStyle w:val="Znakapoznpodarou"/>
        </w:rPr>
        <w:footnoteRef/>
      </w:r>
      <w:r>
        <w:t xml:space="preserve"> Čína, Libanon, Rusko, Srbsko, USA, SAE</w:t>
      </w:r>
    </w:p>
    <w:p w14:paraId="0A26F6F3" w14:textId="77777777" w:rsidR="00910EE9" w:rsidRDefault="00910EE9">
      <w:pPr>
        <w:pStyle w:val="Textpoznpodarou"/>
      </w:pPr>
    </w:p>
  </w:footnote>
  <w:footnote w:id="3">
    <w:p w14:paraId="0A26F6F4" w14:textId="77777777" w:rsidR="00910EE9" w:rsidRDefault="00910EE9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  <w:footnote w:id="4">
    <w:p w14:paraId="0A26F6F5" w14:textId="77777777" w:rsidR="00910EE9" w:rsidRDefault="00910EE9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1" w14:textId="77777777" w:rsidR="00910EE9" w:rsidRDefault="00910EE9">
    <w:r>
      <w:pict w14:anchorId="0A26F6EB">
        <v:shape id="WordPictureWatermark127744536-b757-4933-abfb-c7c48d5bf82e" o:spid="_x0000_s2053" style="position:absolute;left:0;text-align:left;margin-left:0;margin-top:0;width:576.1pt;height:414.05pt;z-index:-25166028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6" w14:textId="77777777" w:rsidR="00910EE9" w:rsidRDefault="00910EE9">
    <w:r>
      <w:pict w14:anchorId="0A26F6EE">
        <v:shape id="WordPictureWatermark1839e857c-64ff-4a14-8a97-5426a6751591" o:spid="_x0000_s2050" style="position:absolute;left:0;text-align:left;margin-left:0;margin-top:0;width:576.1pt;height:414.05pt;z-index:-25165721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7" w14:textId="4AC57075" w:rsidR="00910EE9" w:rsidRDefault="00910EE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F6EA" w14:textId="17C71035" w:rsidR="00910EE9" w:rsidRDefault="00910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C45D"/>
    <w:multiLevelType w:val="multilevel"/>
    <w:tmpl w:val="26F600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87B90D"/>
    <w:multiLevelType w:val="multilevel"/>
    <w:tmpl w:val="0CAC8A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1933703F"/>
    <w:multiLevelType w:val="multilevel"/>
    <w:tmpl w:val="D06EB5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43CC"/>
    <w:multiLevelType w:val="multilevel"/>
    <w:tmpl w:val="9CAC0A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C632F7B"/>
    <w:multiLevelType w:val="multilevel"/>
    <w:tmpl w:val="9A5C2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2722"/>
    <w:multiLevelType w:val="multilevel"/>
    <w:tmpl w:val="9F16B5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1DD585B"/>
    <w:multiLevelType w:val="multilevel"/>
    <w:tmpl w:val="40DEF5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0AF3"/>
    <w:multiLevelType w:val="multilevel"/>
    <w:tmpl w:val="08FE6D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AB1BCF5"/>
    <w:multiLevelType w:val="multilevel"/>
    <w:tmpl w:val="8D22D5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B0CB9CA"/>
    <w:multiLevelType w:val="multilevel"/>
    <w:tmpl w:val="77BE1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B186991"/>
    <w:multiLevelType w:val="multilevel"/>
    <w:tmpl w:val="10FC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DBF3"/>
    <w:multiLevelType w:val="multilevel"/>
    <w:tmpl w:val="1114AD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C17096A"/>
    <w:multiLevelType w:val="multilevel"/>
    <w:tmpl w:val="E408A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CC29C6"/>
    <w:multiLevelType w:val="multilevel"/>
    <w:tmpl w:val="B0321B2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F540EA"/>
    <w:multiLevelType w:val="multilevel"/>
    <w:tmpl w:val="C152FF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EBB2885"/>
    <w:multiLevelType w:val="multilevel"/>
    <w:tmpl w:val="94BA2FA8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518F6F4"/>
    <w:multiLevelType w:val="multilevel"/>
    <w:tmpl w:val="B888E7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A582832"/>
    <w:multiLevelType w:val="multilevel"/>
    <w:tmpl w:val="200C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FDA67"/>
    <w:multiLevelType w:val="multilevel"/>
    <w:tmpl w:val="AE58DC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5C04013"/>
    <w:multiLevelType w:val="multilevel"/>
    <w:tmpl w:val="0EBEEA1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11A54"/>
    <w:multiLevelType w:val="multilevel"/>
    <w:tmpl w:val="02F85A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72090A5E"/>
    <w:multiLevelType w:val="multilevel"/>
    <w:tmpl w:val="EA7AE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09CE"/>
    <w:multiLevelType w:val="multilevel"/>
    <w:tmpl w:val="EDFA4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B55DA01"/>
    <w:multiLevelType w:val="multilevel"/>
    <w:tmpl w:val="23A6F9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FE4337F"/>
    <w:multiLevelType w:val="multilevel"/>
    <w:tmpl w:val="25021E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19499027"/>
    <w:docVar w:name="dms_carovy_kod_cj" w:val="41826/2020-MZE-17123"/>
    <w:docVar w:name="dms_cj" w:val="41826/2020-MZE-17123"/>
    <w:docVar w:name="dms_datum" w:val="10. 8. 2020"/>
    <w:docVar w:name="dms_datum_textem" w:val="10. srpna 2020"/>
    <w:docVar w:name="dms_datum_vzniku" w:val="10. 8. 2020 11:56:01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20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9B4B82"/>
    <w:rsid w:val="005A6000"/>
    <w:rsid w:val="006229FC"/>
    <w:rsid w:val="007755FD"/>
    <w:rsid w:val="007D4AF3"/>
    <w:rsid w:val="00910EE9"/>
    <w:rsid w:val="009B4B82"/>
    <w:rsid w:val="00B55D27"/>
    <w:rsid w:val="00EC0EC5"/>
    <w:rsid w:val="00F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26F46B"/>
  <w15:docId w15:val="{6D64F96D-F4FF-4E88-804E-3721116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eastAsia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eastAsia="Arial" w:hAnsi="Arial"/>
      <w:b/>
      <w:lang w:eastAsia="cs-CZ" w:bidi="ar-SA"/>
    </w:rPr>
  </w:style>
  <w:style w:type="character" w:customStyle="1" w:styleId="TabPozChar">
    <w:name w:val="TabPoz Char"/>
    <w:basedOn w:val="Standardnpsmoodstavce"/>
    <w:link w:val="TabPoz"/>
    <w:rPr>
      <w:rFonts w:ascii="Arial" w:eastAsia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eastAsia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zlova\Documents\AZO%202020\KRATKY%20VYSTUP_srpen%202020\AZO_srpen_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245951268336956E-2"/>
          <c:y val="0.11790278888935675"/>
          <c:w val="0.89427031151369463"/>
          <c:h val="0.68636529220782361"/>
        </c:manualLayout>
      </c:layout>
      <c:lineChart>
        <c:grouping val="standard"/>
        <c:varyColors val="0"/>
        <c:ser>
          <c:idx val="0"/>
          <c:order val="0"/>
          <c:tx>
            <c:strRef>
              <c:f>Sheet1!$L$2</c:f>
              <c:strCache>
                <c:ptCount val="1"/>
                <c:pt idx="0">
                  <c:v>Celkem</c:v>
                </c:pt>
              </c:strCache>
            </c:strRef>
          </c:tx>
          <c:cat>
            <c:strRef>
              <c:f>'Sheet1'!$A$3:$A$24</c:f>
              <c:strCache>
                <c:ptCount val="22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</c:strCache>
            </c:strRef>
          </c:cat>
          <c:val>
            <c:numRef>
              <c:f>'Sheet1'!$L$3:$L$24</c:f>
              <c:numCache>
                <c:formatCode>#,##0.0</c:formatCode>
                <c:ptCount val="22"/>
                <c:pt idx="0">
                  <c:v>-3.8610129999999998</c:v>
                </c:pt>
                <c:pt idx="1">
                  <c:v>-4.1371120000000001</c:v>
                </c:pt>
                <c:pt idx="2">
                  <c:v>-4.1989650000000003</c:v>
                </c:pt>
                <c:pt idx="3">
                  <c:v>-7.1062899999999898</c:v>
                </c:pt>
                <c:pt idx="4">
                  <c:v>-6.8303529999999997</c:v>
                </c:pt>
                <c:pt idx="5">
                  <c:v>-4.7435619999999998</c:v>
                </c:pt>
                <c:pt idx="6">
                  <c:v>-5.8770889999999998</c:v>
                </c:pt>
                <c:pt idx="7">
                  <c:v>-5.6332829999999996</c:v>
                </c:pt>
                <c:pt idx="8">
                  <c:v>-5.7380839999999997</c:v>
                </c:pt>
                <c:pt idx="9">
                  <c:v>-7.0476429999999999</c:v>
                </c:pt>
                <c:pt idx="10">
                  <c:v>-9.5282839999999993</c:v>
                </c:pt>
                <c:pt idx="11">
                  <c:v>-10.127515000000001</c:v>
                </c:pt>
                <c:pt idx="12">
                  <c:v>-11.233027999999999</c:v>
                </c:pt>
                <c:pt idx="13">
                  <c:v>-10.100832</c:v>
                </c:pt>
                <c:pt idx="14">
                  <c:v>-8.8832459999999998</c:v>
                </c:pt>
                <c:pt idx="15">
                  <c:v>-11.449342</c:v>
                </c:pt>
                <c:pt idx="16">
                  <c:v>-12.366724</c:v>
                </c:pt>
                <c:pt idx="17">
                  <c:v>-11.937252000000001</c:v>
                </c:pt>
                <c:pt idx="18">
                  <c:v>-10.050706999999999</c:v>
                </c:pt>
                <c:pt idx="19">
                  <c:v>-13.005827</c:v>
                </c:pt>
                <c:pt idx="20">
                  <c:v>-11.143829</c:v>
                </c:pt>
                <c:pt idx="21">
                  <c:v>-9.4277920000000002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Sheet1!$M$2</c:f>
              <c:strCache>
                <c:ptCount val="1"/>
                <c:pt idx="0">
                  <c:v>s EU 27</c:v>
                </c:pt>
              </c:strCache>
            </c:strRef>
          </c:tx>
          <c:cat>
            <c:strRef>
              <c:f>'Sheet1'!$A$3:$A$24</c:f>
              <c:strCache>
                <c:ptCount val="22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</c:strCache>
            </c:strRef>
          </c:cat>
          <c:val>
            <c:numRef>
              <c:f>'Sheet1'!$M$3:$M$24</c:f>
              <c:numCache>
                <c:formatCode>#,##0.0</c:formatCode>
                <c:ptCount val="22"/>
                <c:pt idx="0">
                  <c:v>-0.44526499999999902</c:v>
                </c:pt>
                <c:pt idx="1">
                  <c:v>-0.52570500000000198</c:v>
                </c:pt>
                <c:pt idx="2">
                  <c:v>-1.0004390000000001</c:v>
                </c:pt>
                <c:pt idx="3">
                  <c:v>-2.785704</c:v>
                </c:pt>
                <c:pt idx="4">
                  <c:v>-3.6712530000000001</c:v>
                </c:pt>
                <c:pt idx="5">
                  <c:v>-1.2957369999999999</c:v>
                </c:pt>
                <c:pt idx="6">
                  <c:v>-2.9588540000000001</c:v>
                </c:pt>
                <c:pt idx="7">
                  <c:v>-1.5096099999999999</c:v>
                </c:pt>
                <c:pt idx="8">
                  <c:v>-1.929541</c:v>
                </c:pt>
                <c:pt idx="9">
                  <c:v>-3.4223079999999899</c:v>
                </c:pt>
                <c:pt idx="10">
                  <c:v>-6.4356039999999997</c:v>
                </c:pt>
                <c:pt idx="11">
                  <c:v>-5.9354940000000003</c:v>
                </c:pt>
                <c:pt idx="12">
                  <c:v>-6.7964510000000002</c:v>
                </c:pt>
                <c:pt idx="13">
                  <c:v>-6.1662810000000103</c:v>
                </c:pt>
                <c:pt idx="14">
                  <c:v>-5.3623099999999999</c:v>
                </c:pt>
                <c:pt idx="15">
                  <c:v>-7.0958519999999998</c:v>
                </c:pt>
                <c:pt idx="16">
                  <c:v>-8.1641700000000093</c:v>
                </c:pt>
                <c:pt idx="17">
                  <c:v>-7.9101350000000004</c:v>
                </c:pt>
                <c:pt idx="18">
                  <c:v>-6.498157</c:v>
                </c:pt>
                <c:pt idx="19">
                  <c:v>-8.5628840000000004</c:v>
                </c:pt>
                <c:pt idx="20">
                  <c:v>-5.9616050000000103</c:v>
                </c:pt>
                <c:pt idx="21">
                  <c:v>-5.0244070000000001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Sheet1!$N$2</c:f>
              <c:strCache>
                <c:ptCount val="1"/>
                <c:pt idx="0">
                  <c:v>s TZ</c:v>
                </c:pt>
              </c:strCache>
            </c:strRef>
          </c:tx>
          <c:cat>
            <c:strRef>
              <c:f>'Sheet1'!$A$3:$A$24</c:f>
              <c:strCache>
                <c:ptCount val="22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</c:strCache>
            </c:strRef>
          </c:cat>
          <c:val>
            <c:numRef>
              <c:f>'Sheet1'!$N$3:$N$24</c:f>
              <c:numCache>
                <c:formatCode>#,##0.0</c:formatCode>
                <c:ptCount val="22"/>
                <c:pt idx="0">
                  <c:v>-3.3388010000000001</c:v>
                </c:pt>
                <c:pt idx="1">
                  <c:v>-3.4843250000000001</c:v>
                </c:pt>
                <c:pt idx="2">
                  <c:v>-2.8075320000000001</c:v>
                </c:pt>
                <c:pt idx="3">
                  <c:v>-4.0522070000000001</c:v>
                </c:pt>
                <c:pt idx="4">
                  <c:v>-2.794327</c:v>
                </c:pt>
                <c:pt idx="5">
                  <c:v>-2.9285770000000002</c:v>
                </c:pt>
                <c:pt idx="6">
                  <c:v>-2.539879</c:v>
                </c:pt>
                <c:pt idx="7">
                  <c:v>-3.990634</c:v>
                </c:pt>
                <c:pt idx="8">
                  <c:v>-3.6578020000000002</c:v>
                </c:pt>
                <c:pt idx="9">
                  <c:v>-3.4744830000000002</c:v>
                </c:pt>
                <c:pt idx="10">
                  <c:v>-2.9989050000000002</c:v>
                </c:pt>
                <c:pt idx="11">
                  <c:v>-4.0029599999999999</c:v>
                </c:pt>
                <c:pt idx="12">
                  <c:v>-4.2604660000000001</c:v>
                </c:pt>
                <c:pt idx="13">
                  <c:v>-3.7656429999999999</c:v>
                </c:pt>
                <c:pt idx="14">
                  <c:v>-3.3822109999999999</c:v>
                </c:pt>
                <c:pt idx="15">
                  <c:v>-4.2363369999999998</c:v>
                </c:pt>
                <c:pt idx="16">
                  <c:v>-4.0565069999999999</c:v>
                </c:pt>
                <c:pt idx="17">
                  <c:v>-3.8842400000000001</c:v>
                </c:pt>
                <c:pt idx="18">
                  <c:v>-3.443225</c:v>
                </c:pt>
                <c:pt idx="19">
                  <c:v>-4.331283</c:v>
                </c:pt>
                <c:pt idx="20">
                  <c:v>-5.0888669999999996</c:v>
                </c:pt>
                <c:pt idx="21">
                  <c:v>-4.3107530000000001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Sheet1!$O$2</c:f>
              <c:strCache>
                <c:ptCount val="1"/>
                <c:pt idx="0">
                  <c:v>s  EU 14</c:v>
                </c:pt>
              </c:strCache>
            </c:strRef>
          </c:tx>
          <c:marker>
            <c:symbol val="circle"/>
            <c:size val="7"/>
            <c:spPr>
              <a:solidFill>
                <a:srgbClr val="000000"/>
              </a:solidFill>
            </c:spPr>
          </c:marker>
          <c:cat>
            <c:strRef>
              <c:f>'Sheet1'!$A$3:$A$24</c:f>
              <c:strCache>
                <c:ptCount val="22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</c:strCache>
            </c:strRef>
          </c:cat>
          <c:val>
            <c:numRef>
              <c:f>'Sheet1'!$O$3:$O$24</c:f>
              <c:numCache>
                <c:formatCode>#,##0.0</c:formatCode>
                <c:ptCount val="22"/>
                <c:pt idx="0">
                  <c:v>-5.6632530000000001</c:v>
                </c:pt>
                <c:pt idx="1">
                  <c:v>-5.8987860000000003</c:v>
                </c:pt>
                <c:pt idx="2">
                  <c:v>-5.9510540000000001</c:v>
                </c:pt>
                <c:pt idx="3">
                  <c:v>-6.7183339999999996</c:v>
                </c:pt>
                <c:pt idx="4">
                  <c:v>-8.0612919999999999</c:v>
                </c:pt>
                <c:pt idx="5">
                  <c:v>-7.4810499999999998</c:v>
                </c:pt>
                <c:pt idx="6">
                  <c:v>-6.8637119999999996</c:v>
                </c:pt>
                <c:pt idx="7">
                  <c:v>-6.8215000000000003</c:v>
                </c:pt>
                <c:pt idx="8">
                  <c:v>-6.9164909999999997</c:v>
                </c:pt>
                <c:pt idx="9">
                  <c:v>-7.6522249999999996</c:v>
                </c:pt>
                <c:pt idx="10">
                  <c:v>-8.3994280000000003</c:v>
                </c:pt>
                <c:pt idx="11">
                  <c:v>-9.1455140000000004</c:v>
                </c:pt>
                <c:pt idx="12">
                  <c:v>-10.434713</c:v>
                </c:pt>
                <c:pt idx="13">
                  <c:v>-9.6357569999999999</c:v>
                </c:pt>
                <c:pt idx="14">
                  <c:v>-6.6902949999999999</c:v>
                </c:pt>
                <c:pt idx="15">
                  <c:v>-9.1637360000000001</c:v>
                </c:pt>
                <c:pt idx="16">
                  <c:v>-10.549130999999999</c:v>
                </c:pt>
                <c:pt idx="17">
                  <c:v>-11.267312</c:v>
                </c:pt>
                <c:pt idx="18">
                  <c:v>-7.4991240000000001</c:v>
                </c:pt>
                <c:pt idx="19">
                  <c:v>-10.624230000000001</c:v>
                </c:pt>
                <c:pt idx="20">
                  <c:v>-9.6124109999999998</c:v>
                </c:pt>
                <c:pt idx="21">
                  <c:v>-8.1764609999999998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Sheet1!$P$2</c:f>
              <c:strCache>
                <c:ptCount val="1"/>
                <c:pt idx="0">
                  <c:v>s EU 13</c:v>
                </c:pt>
              </c:strCache>
            </c:strRef>
          </c:tx>
          <c:marker>
            <c:symbol val="triangle"/>
            <c:size val="7"/>
            <c:spPr>
              <a:solidFill>
                <a:srgbClr val="000000"/>
              </a:solidFill>
            </c:spPr>
          </c:marker>
          <c:cat>
            <c:strRef>
              <c:f>'Sheet1'!$A$3:$A$24</c:f>
              <c:strCache>
                <c:ptCount val="22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</c:strCache>
            </c:strRef>
          </c:cat>
          <c:val>
            <c:numRef>
              <c:f>'Sheet1'!$P$3:$P$24</c:f>
              <c:numCache>
                <c:formatCode>#,##0.0</c:formatCode>
                <c:ptCount val="22"/>
                <c:pt idx="0">
                  <c:v>5.2179880000000001</c:v>
                </c:pt>
                <c:pt idx="1">
                  <c:v>5.373081</c:v>
                </c:pt>
                <c:pt idx="2">
                  <c:v>4.950615</c:v>
                </c:pt>
                <c:pt idx="3">
                  <c:v>3.9326300000000001</c:v>
                </c:pt>
                <c:pt idx="4">
                  <c:v>4.3900389999999998</c:v>
                </c:pt>
                <c:pt idx="5">
                  <c:v>6.1853129999999998</c:v>
                </c:pt>
                <c:pt idx="6">
                  <c:v>3.9048580000000102</c:v>
                </c:pt>
                <c:pt idx="7">
                  <c:v>5.31189</c:v>
                </c:pt>
                <c:pt idx="8">
                  <c:v>4.9869500000000002</c:v>
                </c:pt>
                <c:pt idx="9">
                  <c:v>4.2299170000000004</c:v>
                </c:pt>
                <c:pt idx="10">
                  <c:v>1.963824</c:v>
                </c:pt>
                <c:pt idx="11">
                  <c:v>3.2100200000000001</c:v>
                </c:pt>
                <c:pt idx="12">
                  <c:v>3.6382619999999899</c:v>
                </c:pt>
                <c:pt idx="13">
                  <c:v>3.4694759999999998</c:v>
                </c:pt>
                <c:pt idx="14">
                  <c:v>1.327985</c:v>
                </c:pt>
                <c:pt idx="15">
                  <c:v>2.0678839999999998</c:v>
                </c:pt>
                <c:pt idx="16">
                  <c:v>2.3849609999999899</c:v>
                </c:pt>
                <c:pt idx="17">
                  <c:v>3.3571770000000001</c:v>
                </c:pt>
                <c:pt idx="18">
                  <c:v>1.0009669999999999</c:v>
                </c:pt>
                <c:pt idx="19">
                  <c:v>2.0613459999999901</c:v>
                </c:pt>
                <c:pt idx="20">
                  <c:v>3.6508060000000002</c:v>
                </c:pt>
                <c:pt idx="21">
                  <c:v>3.1520540000000001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892568"/>
        <c:axId val="854534616"/>
      </c:lineChart>
      <c:catAx>
        <c:axId val="847892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cs-CZ"/>
          </a:p>
        </c:txPr>
        <c:crossAx val="854534616"/>
        <c:crosses val="autoZero"/>
        <c:auto val="1"/>
        <c:lblAlgn val="ctr"/>
        <c:lblOffset val="100"/>
        <c:noMultiLvlLbl val="0"/>
      </c:catAx>
      <c:valAx>
        <c:axId val="85453461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1"/>
              </a:gradFill>
              <a:round/>
            </a:ln>
          </c:spPr>
        </c:majorGridlines>
        <c:numFmt formatCode="#,##0" sourceLinked="0"/>
        <c:majorTickMark val="out"/>
        <c:minorTickMark val="none"/>
        <c:tickLblPos val="nextTo"/>
        <c:crossAx val="847892568"/>
        <c:crosses val="autoZero"/>
        <c:crossBetween val="between"/>
      </c:valAx>
      <c:spPr>
        <a:ln w="12700">
          <a:noFill/>
          <a:round/>
        </a:ln>
      </c:spPr>
    </c:plotArea>
    <c:legend>
      <c:legendPos val="r"/>
      <c:layout>
        <c:manualLayout>
          <c:xMode val="edge"/>
          <c:yMode val="edge"/>
          <c:x val="0.10437100870920306"/>
          <c:y val="2.15525038262038E-2"/>
          <c:w val="0.80911915103422249"/>
          <c:h val="8.5891176531694161E-2"/>
        </c:manualLayout>
      </c:layout>
      <c:overlay val="0"/>
    </c:legend>
    <c:plotVisOnly val="1"/>
    <c:dispBlanksAs val="gap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2492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6</cp:revision>
  <cp:lastPrinted>2020-08-10T10:45:00Z</cp:lastPrinted>
  <dcterms:created xsi:type="dcterms:W3CDTF">2020-08-10T10:33:00Z</dcterms:created>
  <dcterms:modified xsi:type="dcterms:W3CDTF">2020-08-11T10:19:00Z</dcterms:modified>
</cp:coreProperties>
</file>