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8841" w14:textId="5E11CE93" w:rsidR="00E77BBF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14EBD21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41EBF869" w14:textId="77777777" w:rsidR="00E77BBF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14A5A2F9" w14:textId="77777777" w:rsidR="00E77BBF" w:rsidRDefault="00000000">
      <w:pPr>
        <w:spacing w:line="300" w:lineRule="atLeast"/>
        <w:ind w:firstLine="567"/>
        <w:jc w:val="center"/>
        <w:outlineLvl w:val="0"/>
        <w:rPr>
          <w:szCs w:val="22"/>
        </w:rPr>
      </w:pPr>
      <w:r>
        <w:rPr>
          <w:szCs w:val="22"/>
        </w:rPr>
        <w:t xml:space="preserve"> </w:t>
      </w:r>
    </w:p>
    <w:p w14:paraId="3169E13B" w14:textId="6C2ED343" w:rsidR="00E77BBF" w:rsidRDefault="00E77BBF">
      <w:pPr>
        <w:spacing w:line="300" w:lineRule="atLeast"/>
        <w:ind w:firstLine="567"/>
        <w:jc w:val="center"/>
        <w:outlineLvl w:val="0"/>
        <w:rPr>
          <w:szCs w:val="22"/>
        </w:rPr>
      </w:pPr>
    </w:p>
    <w:p w14:paraId="5B6BA6D3" w14:textId="77777777" w:rsidR="007810C4" w:rsidRDefault="007810C4">
      <w:pPr>
        <w:spacing w:line="300" w:lineRule="atLeast"/>
        <w:ind w:firstLine="567"/>
        <w:jc w:val="center"/>
        <w:outlineLvl w:val="0"/>
        <w:rPr>
          <w:szCs w:val="22"/>
        </w:rPr>
      </w:pPr>
    </w:p>
    <w:p w14:paraId="45F265CE" w14:textId="77777777" w:rsidR="00E77BBF" w:rsidRDefault="00000000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7F3873B6" w14:textId="77777777" w:rsidR="00E77BBF" w:rsidRDefault="00000000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pololetí roku 2023</w:t>
      </w:r>
    </w:p>
    <w:p w14:paraId="33BC1231" w14:textId="77777777" w:rsidR="00E77BBF" w:rsidRDefault="00E77BBF">
      <w:pPr>
        <w:spacing w:before="240"/>
        <w:rPr>
          <w:b/>
          <w:u w:val="single"/>
        </w:rPr>
      </w:pPr>
    </w:p>
    <w:p w14:paraId="5112AC0E" w14:textId="77777777" w:rsidR="00E77BBF" w:rsidRDefault="00000000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545F6F26" w14:textId="77777777" w:rsidR="00E77BBF" w:rsidRDefault="00E77BBF">
      <w:pPr>
        <w:rPr>
          <w:b/>
          <w:u w:val="single"/>
        </w:rPr>
      </w:pPr>
    </w:p>
    <w:p w14:paraId="6C37EB61" w14:textId="77777777" w:rsidR="00E77BBF" w:rsidRDefault="00000000">
      <w:pPr>
        <w:spacing w:before="240" w:line="276" w:lineRule="auto"/>
        <w:rPr>
          <w:b/>
        </w:rPr>
      </w:pPr>
      <w:r>
        <w:rPr>
          <w:b/>
        </w:rPr>
        <w:t xml:space="preserve">V meziročním srovnání prvního pololetí roku 2023 a 2022 vzrostl obrat agrárního zahraničního obchodu ČR (AZO) o 12,4 %. Rostl jak agrární vývoz, tak agrární dovoz, přičemž vývoz posílil o 14,8 % a hodnota dovozu vzrostla o 10,4 %. </w:t>
      </w:r>
      <w:r>
        <w:rPr>
          <w:rFonts w:ascii="ArialMT2" w:eastAsia="Times New Roman" w:hAnsi="ArialMT2" w:cs="ArialMT2"/>
          <w:szCs w:val="22"/>
          <w:lang w:eastAsia="ar-SA"/>
        </w:rPr>
        <w:t xml:space="preserve">Hlavním důvodem jsou celosvětově rostoucí ceny potravin, které zvyšují cenu obchodovaných produktů. Trvale záporné saldo agrárního zahraničního obchodu ČR se </w:t>
      </w:r>
      <w:r>
        <w:rPr>
          <w:rFonts w:ascii="ArialMT" w:eastAsia="Times New Roman" w:hAnsi="ArialMT" w:cs="ArialMT"/>
          <w:szCs w:val="22"/>
          <w:lang w:eastAsia="ar-SA"/>
        </w:rPr>
        <w:t>zlepšilo o 15,7 % (z </w:t>
      </w:r>
      <w:r>
        <w:t>22,3 mld. Kč na 18,8 mld. Kč</w:t>
      </w:r>
      <w:r>
        <w:rPr>
          <w:rFonts w:ascii="ArialMT2" w:eastAsia="Times New Roman" w:hAnsi="ArialMT2" w:cs="ArialMT2"/>
          <w:szCs w:val="22"/>
          <w:lang w:eastAsia="ar-SA"/>
        </w:rPr>
        <w:t>).</w:t>
      </w:r>
    </w:p>
    <w:p w14:paraId="384DDBA1" w14:textId="77777777" w:rsidR="00E77BBF" w:rsidRDefault="00000000">
      <w:pPr>
        <w:spacing w:before="240" w:line="276" w:lineRule="auto"/>
        <w:rPr>
          <w:b/>
        </w:rPr>
      </w:pPr>
      <w:r>
        <w:rPr>
          <w:rFonts w:ascii="Arial-BoldMT2" w:eastAsia="Times New Roman" w:hAnsi="Arial-BoldMT2" w:cs="Arial-BoldMT2"/>
          <w:b/>
          <w:bCs/>
          <w:szCs w:val="22"/>
          <w:lang w:eastAsia="ar-SA"/>
        </w:rPr>
        <w:t>Záporná bilance AZO ČR se zeměmi EU</w:t>
      </w:r>
      <w:r>
        <w:rPr>
          <w:rFonts w:ascii="Arial-BoldMT" w:eastAsia="Times New Roman" w:hAnsi="Arial-BoldMT" w:cs="Arial-BoldMT"/>
          <w:b/>
          <w:bCs/>
          <w:szCs w:val="22"/>
          <w:lang w:eastAsia="ar-SA"/>
        </w:rPr>
        <w:t>-</w:t>
      </w:r>
      <w:r>
        <w:rPr>
          <w:rFonts w:ascii="Arial-BoldMT2" w:eastAsia="Times New Roman" w:hAnsi="Arial-BoldMT2" w:cs="Arial-BoldMT2"/>
          <w:b/>
          <w:bCs/>
          <w:szCs w:val="22"/>
          <w:lang w:eastAsia="ar-SA"/>
        </w:rPr>
        <w:t xml:space="preserve">27 se v 1. pololetí roku 2023 meziročně </w:t>
      </w:r>
      <w:r>
        <w:rPr>
          <w:b/>
        </w:rPr>
        <w:t xml:space="preserve">zlepšila </w:t>
      </w:r>
      <w:r>
        <w:rPr>
          <w:bCs/>
        </w:rPr>
        <w:t xml:space="preserve">z 9,0 mld. Kč na 3,7 mld. Kč. </w:t>
      </w:r>
      <w:r>
        <w:rPr>
          <w:rFonts w:ascii="Arial-BoldMT2" w:eastAsia="Times New Roman" w:hAnsi="Arial-BoldMT2" w:cs="Arial-BoldMT2"/>
          <w:szCs w:val="22"/>
          <w:lang w:eastAsia="ar-SA"/>
        </w:rPr>
        <w:t xml:space="preserve">Naopak bilance se třetími zeměmi se meziročně </w:t>
      </w:r>
      <w:r>
        <w:t>zhoršila</w:t>
      </w:r>
      <w:r>
        <w:rPr>
          <w:b/>
        </w:rPr>
        <w:t xml:space="preserve"> </w:t>
      </w:r>
      <w:r>
        <w:rPr>
          <w:bCs/>
        </w:rPr>
        <w:t>z 12,9 mld. Kč na 14,6 mld. Kč.</w:t>
      </w:r>
    </w:p>
    <w:p w14:paraId="1DEF7ED7" w14:textId="77777777" w:rsidR="00E77BBF" w:rsidRDefault="00000000">
      <w:pPr>
        <w:spacing w:before="240" w:line="276" w:lineRule="auto"/>
      </w:pPr>
      <w:r>
        <w:rPr>
          <w:rFonts w:ascii="Arial-BoldMT" w:eastAsia="Times New Roman" w:hAnsi="Arial-BoldMT" w:cs="Arial-BoldMT"/>
          <w:b/>
          <w:bCs/>
          <w:szCs w:val="22"/>
          <w:lang w:eastAsia="ar-SA"/>
        </w:rPr>
        <w:t xml:space="preserve">K </w:t>
      </w:r>
      <w:r>
        <w:rPr>
          <w:rFonts w:ascii="Arial-BoldMT2" w:eastAsia="Times New Roman" w:hAnsi="Arial-BoldMT2" w:cs="Arial-BoldMT2"/>
          <w:b/>
          <w:bCs/>
          <w:szCs w:val="22"/>
          <w:lang w:eastAsia="ar-SA"/>
        </w:rPr>
        <w:t>nejvýznamnějšímu meziročnímu zlepšení bilance AZO ČR došlo u</w:t>
      </w:r>
      <w:r>
        <w:rPr>
          <w:b/>
          <w:bCs/>
        </w:rPr>
        <w:t xml:space="preserve"> řepkového oleje,</w:t>
      </w:r>
      <w:r>
        <w:t xml:space="preserve"> </w:t>
      </w:r>
      <w:r>
        <w:rPr>
          <w:b/>
          <w:bCs/>
        </w:rPr>
        <w:t xml:space="preserve">mléka a slunečnicového oleje, </w:t>
      </w:r>
      <w:r>
        <w:rPr>
          <w:rFonts w:ascii="ArialMT" w:eastAsia="Times New Roman" w:hAnsi="ArialMT" w:cs="ArialMT"/>
          <w:szCs w:val="22"/>
          <w:lang w:eastAsia="ar-SA"/>
        </w:rPr>
        <w:t xml:space="preserve">a </w:t>
      </w:r>
      <w:r>
        <w:rPr>
          <w:rFonts w:ascii="ArialMT2" w:eastAsia="Times New Roman" w:hAnsi="ArialMT2" w:cs="ArialMT2"/>
          <w:szCs w:val="22"/>
          <w:lang w:eastAsia="ar-SA"/>
        </w:rPr>
        <w:t>to zejména v relaci obchodu uvnitř EU.</w:t>
      </w:r>
      <w:r>
        <w:t xml:space="preserve"> Oproti tomu meziroční zhoršení salda agrárního zahraničního obchodu nastalo nejvíce u </w:t>
      </w:r>
      <w:r>
        <w:rPr>
          <w:b/>
          <w:bCs/>
        </w:rPr>
        <w:t xml:space="preserve">řepkových semen </w:t>
      </w:r>
      <w:r>
        <w:rPr>
          <w:rFonts w:ascii="ArialMT2" w:eastAsia="Times New Roman" w:hAnsi="ArialMT2" w:cs="ArialMT2"/>
          <w:szCs w:val="22"/>
          <w:lang w:eastAsia="ar-SA"/>
        </w:rPr>
        <w:t xml:space="preserve">(o 3 mld. Kč) s tím, že zhoršení jde na vrub poklesu vývozů do zemí EU. </w:t>
      </w:r>
      <w:r>
        <w:t>Detailní přehled nabízejí tabulky 2–4.</w:t>
      </w:r>
    </w:p>
    <w:p w14:paraId="07E1BF4C" w14:textId="77777777" w:rsidR="00E77BBF" w:rsidRDefault="00000000">
      <w:pPr>
        <w:spacing w:before="240" w:line="276" w:lineRule="auto"/>
      </w:pPr>
      <w:r>
        <w:rPr>
          <w:b/>
          <w:bCs/>
        </w:rPr>
        <w:t>Ve sledovaném období roku 2023 došlo ve dvou zemích, kde působí agrární diplomaté ČR</w:t>
      </w:r>
      <w:r>
        <w:rPr>
          <w:rStyle w:val="Znakapoznpodarou"/>
          <w:b/>
          <w:bCs/>
        </w:rPr>
        <w:footnoteReference w:id="1"/>
      </w:r>
      <w:r>
        <w:rPr>
          <w:b/>
          <w:bCs/>
        </w:rPr>
        <w:t>, k meziročnímu nárůstu agrárního exportu ČR (do Srbska o 17,1 % a do Číny o 1,6 %).</w:t>
      </w:r>
      <w:r>
        <w:rPr>
          <w:rFonts w:ascii="ArialMT2" w:eastAsia="Times New Roman" w:hAnsi="ArialMT2" w:cs="ArialMT2"/>
          <w:szCs w:val="22"/>
          <w:lang w:eastAsia="ar-SA"/>
        </w:rPr>
        <w:t xml:space="preserve"> Agrární export ČR </w:t>
      </w:r>
      <w:r>
        <w:t>meziročně poklesl do Spojených arabských emirátů o 29,9 % (pokles exportu sýrů), do Japonska o 28,5 % (zejména vzhledem k snížení exportu výživy pro psy a kočky a cigaret), do Spojených států o 23,8 % (pokles vývozu potravinových přípravků a pektinů) a do Libanonu o 14,0 % (pokles exportu sušeného mléka).</w:t>
      </w:r>
    </w:p>
    <w:p w14:paraId="7A747B22" w14:textId="77777777" w:rsidR="00E77BBF" w:rsidRDefault="00000000">
      <w:pPr>
        <w:spacing w:line="276" w:lineRule="auto"/>
        <w:jc w:val="left"/>
        <w:rPr>
          <w:rFonts w:ascii="ArialMT2" w:eastAsia="Times New Roman" w:hAnsi="ArialMT2" w:cs="ArialMT2"/>
          <w:szCs w:val="22"/>
          <w:lang w:eastAsia="ar-SA"/>
        </w:rPr>
      </w:pPr>
      <w:r>
        <w:rPr>
          <w:rFonts w:ascii="ArialMT2" w:eastAsia="Times New Roman" w:hAnsi="ArialMT2" w:cs="ArialMT2"/>
          <w:szCs w:val="22"/>
          <w:lang w:eastAsia="ar-SA"/>
        </w:rPr>
        <w:br w:type="page"/>
      </w:r>
    </w:p>
    <w:p w14:paraId="61A4ADDA" w14:textId="77777777" w:rsidR="00E77BBF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KOMODITNÍ POHLED</w:t>
      </w:r>
    </w:p>
    <w:p w14:paraId="05AE709F" w14:textId="77777777" w:rsidR="00E77BBF" w:rsidRDefault="00000000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1. pololetí roku 2023 </w:t>
      </w:r>
      <w:r>
        <w:rPr>
          <w:b/>
        </w:rPr>
        <w:t xml:space="preserve">cigarety, přípravky k výživě zvířat, pšenice, pekařské zboží a potravinové přípravky.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pekařské zboží, přípravky k výživě zvířat, potravinové přípravky a sýry a tvaroh. </w:t>
      </w:r>
      <w:r>
        <w:t>Detailnější údaje o nejvíce vyvážených a dovážených agrárních položkách ve sledovaném období uvádí tabulka 1.</w:t>
      </w:r>
    </w:p>
    <w:p w14:paraId="102330DF" w14:textId="77777777" w:rsidR="00E77BBF" w:rsidRDefault="00E77BBF">
      <w:pPr>
        <w:spacing w:before="240"/>
        <w:rPr>
          <w:rFonts w:ascii="ArialMT2" w:eastAsia="Times New Roman" w:hAnsi="ArialMT2" w:cs="ArialMT2"/>
          <w:szCs w:val="22"/>
          <w:lang w:eastAsia="ar-SA"/>
        </w:rPr>
      </w:pPr>
    </w:p>
    <w:p w14:paraId="31169BD3" w14:textId="77777777" w:rsidR="00E77BBF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4B64CC10" w14:textId="77777777" w:rsidR="00E77BBF" w:rsidRDefault="00000000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prvních šesti měsících roku 2023 zejména do </w:t>
      </w:r>
      <w:r>
        <w:rPr>
          <w:b/>
        </w:rPr>
        <w:t>Německa</w:t>
      </w:r>
      <w:r>
        <w:t xml:space="preserve"> (28,0 %) a na </w:t>
      </w:r>
      <w:r>
        <w:rPr>
          <w:b/>
        </w:rPr>
        <w:t>Slovensko</w:t>
      </w:r>
      <w:r>
        <w:t xml:space="preserve"> (19,1 %). Třetí nejvýznamnější destinací zůstalo </w:t>
      </w:r>
      <w:r>
        <w:rPr>
          <w:b/>
        </w:rPr>
        <w:t>Polsko</w:t>
      </w:r>
      <w:r>
        <w:t xml:space="preserve"> (9,0 %). Dále následovaly </w:t>
      </w:r>
      <w:r>
        <w:rPr>
          <w:b/>
        </w:rPr>
        <w:t>Rakousko</w:t>
      </w:r>
      <w:r>
        <w:t xml:space="preserve"> (6,0 %), </w:t>
      </w:r>
      <w:r>
        <w:rPr>
          <w:b/>
        </w:rPr>
        <w:t>Itálie</w:t>
      </w:r>
      <w:r>
        <w:t xml:space="preserve"> (5,0 %) a </w:t>
      </w:r>
      <w:r>
        <w:rPr>
          <w:b/>
        </w:rPr>
        <w:t>Maďarsko</w:t>
      </w:r>
      <w:r>
        <w:t xml:space="preserve"> (4,1 %). Hlavními odběrateli v rámci třetích zemí byly Spojené království (2,1 %), Ukrajina a Egypt (shodně 0,7 %), Rusko a Turecko (shodně 0,6 %), USA (0,5 %), Japonsko (0,4 %), Švýcarsko, Srbsko, Norsko, Izrael a Jižní Afrika (shodně 0,3 %).</w:t>
      </w:r>
    </w:p>
    <w:p w14:paraId="74F5568E" w14:textId="77777777" w:rsidR="00E77BBF" w:rsidRDefault="00000000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pololetí roku 2023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19,4 % a 15,6 %. V meziročním porovnání v 1. pololetí roku 2023 poklesl podíl Německa (o 0,2 p. b.) a podíl Polska nepatrně posílil (o 0,2 p. b.). Dalšími významnými dovozci byly </w:t>
      </w:r>
      <w:r>
        <w:rPr>
          <w:b/>
          <w:bCs/>
        </w:rPr>
        <w:t xml:space="preserve">Nizozemsko </w:t>
      </w:r>
      <w:r>
        <w:t>(7,3 %),</w:t>
      </w:r>
      <w:r>
        <w:rPr>
          <w:b/>
          <w:bCs/>
        </w:rPr>
        <w:t xml:space="preserve"> Španělsko</w:t>
      </w:r>
      <w:r>
        <w:t xml:space="preserve"> (6,7 %), </w:t>
      </w:r>
      <w:r>
        <w:rPr>
          <w:b/>
          <w:bCs/>
        </w:rPr>
        <w:t>Itálie</w:t>
      </w:r>
      <w:r>
        <w:t xml:space="preserve"> 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Slovensko</w:t>
      </w:r>
      <w:r>
        <w:t xml:space="preserve"> (shodně 6,3 %), a </w:t>
      </w:r>
      <w:r>
        <w:rPr>
          <w:b/>
          <w:bCs/>
        </w:rPr>
        <w:t>Rakousko</w:t>
      </w:r>
      <w:r>
        <w:t xml:space="preserve"> (3,9 %).</w:t>
      </w:r>
      <w:r>
        <w:rPr>
          <w:color w:val="FF0000"/>
        </w:rPr>
        <w:t xml:space="preserve"> </w:t>
      </w:r>
      <w:r>
        <w:t>Z třetích zemí byly hlavními dodavateli Čína (2,0 %), Ukrajina (1,8 %), Norsko (1,2 %), Turecko a Spojené království (shodně 1,1 %), Spojené státy (0,9 %) a Brazílie (0,8 %).</w:t>
      </w:r>
    </w:p>
    <w:p w14:paraId="03067023" w14:textId="77777777" w:rsidR="00E77BBF" w:rsidRDefault="00000000">
      <w:pPr>
        <w:spacing w:line="276" w:lineRule="auto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pololetí roku 2023 v obchodě s Německem, (o 5,8 mld. Kč, zejména výraznějším navýšením vývozu cigaret, pšenice a přípravků k výživě zvířat), Slovenskem (o 2,4 mld. Kč), Maďarskem (o 1,1 mld. Kč) a Spojeným královstvím (o 556,2 mil. Kč). </w:t>
      </w:r>
      <w:r>
        <w:rPr>
          <w:b/>
          <w:bCs/>
        </w:rPr>
        <w:t>Z</w:t>
      </w:r>
      <w:r>
        <w:rPr>
          <w:b/>
        </w:rPr>
        <w:t>horšení bilance</w:t>
      </w:r>
      <w:r>
        <w:t xml:space="preserve"> zaznamenal obchod zejména s Polskem (o 2,6 mld. Kč, a to nárůstem dovozu pekařského zboží a vajec a </w:t>
      </w:r>
      <w:r>
        <w:rPr>
          <w:rFonts w:ascii="ArialMT2" w:eastAsia="Times New Roman" w:hAnsi="ArialMT2" w:cs="ArialMT2"/>
          <w:szCs w:val="22"/>
          <w:lang w:eastAsia="ar-SA"/>
        </w:rPr>
        <w:t>poklesem vývozu pšenice</w:t>
      </w:r>
      <w:r>
        <w:t>), dále pak Rumunskem (o 1,3 mld. Kč), Čínou (o 1,1 mld. Kč) a Ukrajinou (o 1,0 mld. Kč).</w:t>
      </w:r>
    </w:p>
    <w:p w14:paraId="2908AD95" w14:textId="77777777" w:rsidR="00E77BBF" w:rsidRDefault="00E77BBF">
      <w:pPr>
        <w:spacing w:line="276" w:lineRule="auto"/>
        <w:ind w:firstLine="708"/>
        <w:rPr>
          <w:highlight w:val="yellow"/>
        </w:rPr>
      </w:pPr>
    </w:p>
    <w:p w14:paraId="4CF7EFD1" w14:textId="77777777" w:rsidR="00E77BBF" w:rsidRDefault="00E77BBF">
      <w:pPr>
        <w:spacing w:line="276" w:lineRule="auto"/>
        <w:ind w:firstLine="708"/>
      </w:pPr>
    </w:p>
    <w:p w14:paraId="5EB808BB" w14:textId="77777777" w:rsidR="00E77BBF" w:rsidRDefault="00E77BBF">
      <w:pPr>
        <w:spacing w:line="276" w:lineRule="auto"/>
        <w:ind w:firstLine="708"/>
      </w:pPr>
    </w:p>
    <w:p w14:paraId="5533C5AC" w14:textId="77777777" w:rsidR="00E77BBF" w:rsidRDefault="00E77BBF">
      <w:pPr>
        <w:spacing w:line="276" w:lineRule="auto"/>
        <w:ind w:firstLine="708"/>
      </w:pPr>
    </w:p>
    <w:p w14:paraId="3E334C39" w14:textId="77777777" w:rsidR="00E77BBF" w:rsidRDefault="00E77BBF">
      <w:pPr>
        <w:spacing w:line="276" w:lineRule="auto"/>
        <w:ind w:firstLine="708"/>
      </w:pPr>
    </w:p>
    <w:p w14:paraId="51000065" w14:textId="77777777" w:rsidR="00E77BBF" w:rsidRDefault="00E77BBF">
      <w:pPr>
        <w:spacing w:line="276" w:lineRule="auto"/>
        <w:ind w:firstLine="708"/>
      </w:pPr>
    </w:p>
    <w:p w14:paraId="081C0CCB" w14:textId="77777777" w:rsidR="00E77BBF" w:rsidRDefault="00E77BBF">
      <w:pPr>
        <w:spacing w:line="276" w:lineRule="auto"/>
        <w:ind w:firstLine="708"/>
      </w:pPr>
    </w:p>
    <w:p w14:paraId="37238304" w14:textId="77777777" w:rsidR="00E77BBF" w:rsidRDefault="00E77BBF">
      <w:pPr>
        <w:spacing w:line="276" w:lineRule="auto"/>
        <w:ind w:firstLine="708"/>
      </w:pPr>
    </w:p>
    <w:p w14:paraId="6865FDED" w14:textId="77777777" w:rsidR="00E77BBF" w:rsidRDefault="00E77BBF">
      <w:pPr>
        <w:spacing w:line="276" w:lineRule="auto"/>
        <w:ind w:firstLine="708"/>
      </w:pPr>
    </w:p>
    <w:p w14:paraId="2BCB6642" w14:textId="77777777" w:rsidR="00E77BBF" w:rsidRDefault="00E77BBF">
      <w:pPr>
        <w:spacing w:line="276" w:lineRule="auto"/>
        <w:ind w:firstLine="708"/>
      </w:pPr>
    </w:p>
    <w:p w14:paraId="351EC0CD" w14:textId="77777777" w:rsidR="00E77BBF" w:rsidRDefault="00E77BBF">
      <w:pPr>
        <w:spacing w:line="276" w:lineRule="auto"/>
        <w:ind w:firstLine="708"/>
      </w:pPr>
    </w:p>
    <w:p w14:paraId="77D7559B" w14:textId="77777777" w:rsidR="00E77BBF" w:rsidRDefault="00E77BBF">
      <w:pPr>
        <w:spacing w:line="276" w:lineRule="auto"/>
        <w:ind w:firstLine="708"/>
      </w:pPr>
    </w:p>
    <w:p w14:paraId="1AFC130C" w14:textId="77777777" w:rsidR="00E77BBF" w:rsidRDefault="00E77BBF">
      <w:pPr>
        <w:spacing w:line="276" w:lineRule="auto"/>
        <w:ind w:firstLine="708"/>
      </w:pPr>
    </w:p>
    <w:p w14:paraId="53737106" w14:textId="77777777" w:rsidR="00E77BBF" w:rsidRDefault="00E77BBF">
      <w:pPr>
        <w:spacing w:line="276" w:lineRule="auto"/>
        <w:ind w:firstLine="708"/>
      </w:pPr>
    </w:p>
    <w:p w14:paraId="0EC3DFD4" w14:textId="77777777" w:rsidR="00E77BBF" w:rsidRDefault="00E77BBF">
      <w:pPr>
        <w:spacing w:line="276" w:lineRule="auto"/>
        <w:ind w:firstLine="708"/>
      </w:pPr>
    </w:p>
    <w:p w14:paraId="0B6E8A08" w14:textId="77777777" w:rsidR="00E77BBF" w:rsidRDefault="00000000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1 – Přehled 10 nejvíce z ČR vyvážených a do ČR dovážených položek v 1. pololetí roku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864"/>
        <w:gridCol w:w="719"/>
        <w:gridCol w:w="706"/>
        <w:gridCol w:w="2251"/>
        <w:gridCol w:w="942"/>
        <w:gridCol w:w="745"/>
        <w:gridCol w:w="706"/>
      </w:tblGrid>
      <w:tr w:rsidR="00E77BBF" w14:paraId="03DE656F" w14:textId="77777777">
        <w:trPr>
          <w:trHeight w:val="1165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AB2095C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DC799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EDC67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DDA0826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1. pol. 2022 (%)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0778480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31583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FD3BD3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DECE371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1. pol. 2022 (%)</w:t>
            </w:r>
          </w:p>
        </w:tc>
      </w:tr>
      <w:tr w:rsidR="00E77BBF" w14:paraId="25D26164" w14:textId="77777777">
        <w:trPr>
          <w:trHeight w:val="397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5FEB6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461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0A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0AFB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121,1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A217B36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92F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17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11756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27,1</w:t>
            </w:r>
          </w:p>
        </w:tc>
      </w:tr>
      <w:tr w:rsidR="00E77BBF" w14:paraId="192794B7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EEF2CD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622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7D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BDBE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9B0B24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CA2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E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240D8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23,2</w:t>
            </w:r>
          </w:p>
        </w:tc>
      </w:tr>
      <w:tr w:rsidR="00E77BBF" w14:paraId="50B3FCC2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80EB74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9B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E9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F8681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FBE4BDD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53C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6E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5D773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23,0</w:t>
            </w:r>
          </w:p>
        </w:tc>
      </w:tr>
      <w:tr w:rsidR="00E77BBF" w14:paraId="2CA7FB73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F46EA7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BDC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759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1730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4AE6993A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1D1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C43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8E7F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13,9</w:t>
            </w:r>
          </w:p>
        </w:tc>
      </w:tr>
      <w:tr w:rsidR="00E77BBF" w14:paraId="44E34AC5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622E6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AD4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F02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D077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87351A4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76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562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298F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5,4</w:t>
            </w:r>
          </w:p>
        </w:tc>
      </w:tr>
      <w:tr w:rsidR="00E77BBF" w14:paraId="2474108C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837E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F4E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276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BF8E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E47B4BD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B12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97D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8B99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12,8</w:t>
            </w:r>
          </w:p>
        </w:tc>
      </w:tr>
      <w:tr w:rsidR="00E77BBF" w14:paraId="2D2773D3" w14:textId="77777777">
        <w:trPr>
          <w:trHeight w:hRule="exact" w:val="73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ABA407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9D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B6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0D794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AF23784" w14:textId="77777777" w:rsidR="00E77BBF" w:rsidRDefault="00000000">
            <w:pPr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Výrobky obsahující tabák a nikotin (k vdechování bez spalování)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96F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B38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A43C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151,8</w:t>
            </w:r>
          </w:p>
        </w:tc>
      </w:tr>
      <w:tr w:rsidR="00E77BBF" w14:paraId="0B94C130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33E84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382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0C3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1D66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CABE6C4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DED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99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D35C9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9,4</w:t>
            </w:r>
          </w:p>
        </w:tc>
      </w:tr>
      <w:tr w:rsidR="00E77BBF" w14:paraId="31B3644B" w14:textId="77777777">
        <w:trPr>
          <w:trHeight w:val="397"/>
        </w:trPr>
        <w:tc>
          <w:tcPr>
            <w:tcW w:w="11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C4133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Pivo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41C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5C5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740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E815AF9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F22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7B8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4D689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8,7</w:t>
            </w:r>
          </w:p>
        </w:tc>
      </w:tr>
      <w:tr w:rsidR="00E77BBF" w14:paraId="21FA6496" w14:textId="77777777">
        <w:trPr>
          <w:trHeight w:val="397"/>
        </w:trPr>
        <w:tc>
          <w:tcPr>
            <w:tcW w:w="1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B647E" w14:textId="77777777" w:rsidR="00E77BBF" w:rsidRDefault="00000000">
            <w:pPr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Voda a nealkoholické</w:t>
            </w:r>
          </w:p>
          <w:p w14:paraId="17EB080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A078C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45F12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28D3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12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72F409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CE4FC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D84EF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AAF0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8,9</w:t>
            </w:r>
          </w:p>
        </w:tc>
      </w:tr>
    </w:tbl>
    <w:p w14:paraId="1DF18052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54D49B9C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7B6296FF" w14:textId="77777777" w:rsidR="00E77BBF" w:rsidRDefault="00E77BBF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1047A0FC" w14:textId="77777777" w:rsidR="00E77BBF" w:rsidRDefault="00000000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pololetí roku 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741"/>
        <w:gridCol w:w="45"/>
        <w:gridCol w:w="700"/>
        <w:gridCol w:w="891"/>
        <w:gridCol w:w="2170"/>
        <w:gridCol w:w="739"/>
        <w:gridCol w:w="739"/>
        <w:gridCol w:w="899"/>
      </w:tblGrid>
      <w:tr w:rsidR="00E77BBF" w14:paraId="6E0FDBBA" w14:textId="77777777">
        <w:trPr>
          <w:trHeight w:val="380"/>
        </w:trPr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6F7B033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2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072F6767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4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409E89D9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1D1B22D9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3514B094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4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75C6FE1F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E77BBF" w14:paraId="0A438CD3" w14:textId="77777777">
        <w:trPr>
          <w:trHeight w:val="380"/>
        </w:trPr>
        <w:tc>
          <w:tcPr>
            <w:tcW w:w="11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6D6122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44B38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D364C2E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4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55A53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370548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D280E8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CA837BF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F70B4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77BBF" w14:paraId="487895C8" w14:textId="77777777">
        <w:trPr>
          <w:trHeight w:val="380"/>
        </w:trPr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E2FA0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Cigarety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F5F71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2 674,0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14679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9 983,8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D72E6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7 309,8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591AF1E3" w14:textId="77777777" w:rsidR="00E77BBF" w:rsidRDefault="000000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BE899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-1 170,5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B0ACC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-4 678,0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E07F1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-3 507,5</w:t>
            </w:r>
          </w:p>
        </w:tc>
      </w:tr>
      <w:tr w:rsidR="00E77BBF" w14:paraId="53CBC334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17003B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Řepkový olej 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70CAD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2 054,7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21D00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4 099,2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3577A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2 044,5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523B170E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Řepková semena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F05D6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3 419,5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3D540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341,9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CC545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-3 077,6</w:t>
            </w:r>
          </w:p>
        </w:tc>
      </w:tr>
      <w:tr w:rsidR="00E77BBF" w14:paraId="0D22290C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0C8492" w14:textId="77777777" w:rsidR="00E77BBF" w:rsidRDefault="00000000">
            <w:pPr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Mléko a smetana nezahuštěná neslazená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46B75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4 980,8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F490C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6 088,3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63B62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1 107,5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5650D4E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04AC1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-7 388,2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4A9FB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-9 404,7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DEBDB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-2 016,5</w:t>
            </w:r>
          </w:p>
        </w:tc>
      </w:tr>
      <w:tr w:rsidR="00E77BBF" w14:paraId="293E0A22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D70F9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33E27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3B92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1 153,5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6424A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1 098,4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50DE052F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9CDF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DF5A2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-674,1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92EA9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-1 411,1</w:t>
            </w:r>
          </w:p>
        </w:tc>
      </w:tr>
      <w:tr w:rsidR="00E77BBF" w14:paraId="349E3EA7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77013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336BC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3 621,3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BBB50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4 641,6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1D66D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1 020,3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77FE81D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Vejce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C8298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295,1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EE668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-345,8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E0295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-641,0</w:t>
            </w:r>
          </w:p>
        </w:tc>
      </w:tr>
      <w:tr w:rsidR="00E77BBF" w14:paraId="2B84490B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65CEB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Pokrutiny 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B76B7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426,0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A210F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1 378,1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70B24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952,0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48737D7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A1493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-1 370,7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82E75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-1 952,8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F3154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-582,1</w:t>
            </w:r>
          </w:p>
        </w:tc>
      </w:tr>
      <w:tr w:rsidR="00E77BBF" w14:paraId="29DC2366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2F567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BD320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7 814,7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36216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8 698,6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ACFA0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883,9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3A000D8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14802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-862,5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84951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-1 368,0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59173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-505,5</w:t>
            </w:r>
          </w:p>
        </w:tc>
      </w:tr>
      <w:tr w:rsidR="00E77BBF" w14:paraId="6AC42AFD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46BD0B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CF49A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997,6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4972D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1 665,6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C7A6E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668,0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0659DA7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1F8B3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-2 695,8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2D470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-3 073,7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09F9E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-377,9</w:t>
            </w:r>
          </w:p>
        </w:tc>
      </w:tr>
      <w:tr w:rsidR="00E77BBF" w14:paraId="3B2300BA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22E97" w14:textId="77777777" w:rsidR="00E77BBF" w:rsidRDefault="0000000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Živočišné a rostlinné tuky a oleje</w:t>
            </w:r>
          </w:p>
        </w:tc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B201F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-1 393,4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013F0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-774,4</w:t>
            </w:r>
          </w:p>
        </w:tc>
        <w:tc>
          <w:tcPr>
            <w:tcW w:w="4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DC2DD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619,1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2BD7DCE0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Víno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4142E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-2 276,5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B0ADB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-2 622,8</w:t>
            </w: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0489B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-346,3</w:t>
            </w:r>
          </w:p>
        </w:tc>
      </w:tr>
      <w:tr w:rsidR="00E77BBF" w14:paraId="573B7F93" w14:textId="77777777">
        <w:trPr>
          <w:trHeight w:val="380"/>
        </w:trPr>
        <w:tc>
          <w:tcPr>
            <w:tcW w:w="11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DFA69A" w14:textId="77777777" w:rsidR="00E77BBF" w:rsidRDefault="0000000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07434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-2 085,5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ACD2C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-1 513,6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1E3FC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571,8</w:t>
            </w:r>
          </w:p>
        </w:tc>
        <w:tc>
          <w:tcPr>
            <w:tcW w:w="1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5C80C2E0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Cibule, šalotka, česnek, pór aj.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C0FD9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-472,3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CC769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-817,6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EF8E8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-345,2</w:t>
            </w:r>
          </w:p>
        </w:tc>
      </w:tr>
    </w:tbl>
    <w:p w14:paraId="2099FC87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  <w:r>
        <w:rPr>
          <w:rFonts w:ascii="Arial-BoldMT2" w:hAnsi="Arial-BoldMT2" w:cs="Arial-BoldMT2"/>
          <w:b w:val="0"/>
          <w:bCs/>
          <w:szCs w:val="16"/>
          <w:lang w:eastAsia="ar-SA"/>
        </w:rPr>
        <w:t>Výrobky obsahující tabák a nikotin (k vdechování bez spalování)</w:t>
      </w:r>
      <w:r>
        <w:rPr>
          <w:rFonts w:cs="Arial"/>
          <w:b w:val="0"/>
          <w:szCs w:val="16"/>
        </w:rPr>
        <w:t xml:space="preserve"> (HS 2404) - od roku 2022 nová položka v celním sazebníku </w:t>
      </w:r>
    </w:p>
    <w:p w14:paraId="4E797D84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25D10CD1" w14:textId="77777777" w:rsidR="00E77BBF" w:rsidRDefault="00000000">
      <w:pPr>
        <w:keepNext/>
        <w:spacing w:before="240"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lang w:eastAsia="cs-CZ"/>
        </w:rPr>
        <w:t>Tabulka 3 – Přehled 10 položek s nejvýraznější kladnou a zápornou změnou bilance se zeměmi EU 27 v 1. pololetí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721"/>
        <w:gridCol w:w="738"/>
        <w:gridCol w:w="893"/>
        <w:gridCol w:w="2197"/>
        <w:gridCol w:w="729"/>
        <w:gridCol w:w="729"/>
        <w:gridCol w:w="962"/>
      </w:tblGrid>
      <w:tr w:rsidR="00E77BBF" w14:paraId="0802EE6B" w14:textId="77777777">
        <w:trPr>
          <w:trHeight w:val="450"/>
        </w:trPr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FE57BED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01D01050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260E7F0B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2C8265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67932C6A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141BC28A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E77BBF" w14:paraId="531DAB2D" w14:textId="77777777">
        <w:trPr>
          <w:trHeight w:val="406"/>
        </w:trPr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140E1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40A2F8EA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4734088B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4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3886AD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36DF2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5BEDA13F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464FE0E7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53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73D0CB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77BBF" w14:paraId="52DAF312" w14:textId="77777777">
        <w:trPr>
          <w:trHeight w:val="397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3CB65D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CEB0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2 540,6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4010F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9 699,6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D8269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7 159,0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14CDAD9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Řepková semena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74A3E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3 553,5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C1A6E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591,6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D6DD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-2 961,9</w:t>
            </w:r>
          </w:p>
        </w:tc>
      </w:tr>
      <w:tr w:rsidR="00E77BBF" w14:paraId="57C0CDE5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BEBF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87D77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2 225,4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62CD2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4 125,7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65E70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1 900,3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55BD8EB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9D9B1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-1 095,6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54AF8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-3 520,9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DEC1E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-2 425,2</w:t>
            </w:r>
          </w:p>
        </w:tc>
      </w:tr>
      <w:tr w:rsidR="00E77BBF" w14:paraId="5F1B51A9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A7BF62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65C96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4 959,8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EB393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6 061,0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0009C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1 101,2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E8382EA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42154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-7 289,5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36856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-9 276,8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A8A6F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-1 987,3</w:t>
            </w:r>
          </w:p>
        </w:tc>
      </w:tr>
      <w:tr w:rsidR="00E77BBF" w14:paraId="4E876B3A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18B61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F115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3 054,7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19D14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4 129,1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7FAA4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1 074,5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7B432E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1518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70CBA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-374,8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41C74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-1 175,4</w:t>
            </w:r>
          </w:p>
        </w:tc>
      </w:tr>
      <w:tr w:rsidR="00E77BBF" w14:paraId="2CAD7B29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967E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344D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7 687,9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F38EC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8 683,5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B8DFA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995,6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E69CDF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0F0F3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-1 468,9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C86BD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-2 050,1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DD87B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-581,2</w:t>
            </w:r>
          </w:p>
        </w:tc>
      </w:tr>
      <w:tr w:rsidR="00E77BBF" w14:paraId="072E7B12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AA68B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Pokrutiny 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B3E36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460,5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270BF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1 437,9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036CC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977,4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57205C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53C50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-759,5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BAB0C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-1 226,2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1C993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-466,6</w:t>
            </w:r>
          </w:p>
        </w:tc>
      </w:tr>
      <w:tr w:rsidR="00E77BBF" w14:paraId="11B43440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341BE9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1F803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465,1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870EF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1 307,3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55976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842,2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09E58C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C0CEF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-141,0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D1B40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-525,4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F51F0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-384,4</w:t>
            </w:r>
          </w:p>
        </w:tc>
      </w:tr>
      <w:tr w:rsidR="00E77BBF" w14:paraId="7EDFBC63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5338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D65EF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1 576,1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0607E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2 223,8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6A824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647,7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415020A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Víno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BFE9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-1 957,2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61DEB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-2 334,5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A9C46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-377,3</w:t>
            </w:r>
          </w:p>
        </w:tc>
      </w:tr>
      <w:tr w:rsidR="00E77BBF" w14:paraId="656EBE32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B2B8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D1ED2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-2 365,1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82D3F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-1 838,5</w:t>
            </w:r>
          </w:p>
        </w:tc>
        <w:tc>
          <w:tcPr>
            <w:tcW w:w="4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0AA7C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526,6</w:t>
            </w:r>
          </w:p>
        </w:tc>
        <w:tc>
          <w:tcPr>
            <w:tcW w:w="1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FD3A9EE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 a smetana zahuštěná slazená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2AD61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315,9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6521C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CCAF5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-291,5</w:t>
            </w:r>
          </w:p>
        </w:tc>
      </w:tr>
      <w:tr w:rsidR="00E77BBF" w14:paraId="41FFC54E" w14:textId="77777777">
        <w:trPr>
          <w:trHeight w:val="397"/>
        </w:trPr>
        <w:tc>
          <w:tcPr>
            <w:tcW w:w="1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36319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7D953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800,4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D3393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1 315,6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47276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515,3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5BFA99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A7D9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-2 329,8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1010D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-2 600,2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63214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-270,4</w:t>
            </w:r>
          </w:p>
        </w:tc>
      </w:tr>
    </w:tbl>
    <w:p w14:paraId="0C41237F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  <w:r>
        <w:rPr>
          <w:rFonts w:ascii="Arial-BoldMT2" w:hAnsi="Arial-BoldMT2" w:cs="Arial-BoldMT2"/>
          <w:b w:val="0"/>
          <w:bCs/>
          <w:szCs w:val="16"/>
          <w:lang w:eastAsia="ar-SA"/>
        </w:rPr>
        <w:t>Výrobky obsahující tabák a nikotin (k vdechování bez spalování)</w:t>
      </w:r>
      <w:r>
        <w:rPr>
          <w:rFonts w:cs="Arial"/>
          <w:b w:val="0"/>
          <w:szCs w:val="16"/>
        </w:rPr>
        <w:t xml:space="preserve"> (HS 2404) - od roku 2022 nová položka v celním sazebníku </w:t>
      </w:r>
    </w:p>
    <w:p w14:paraId="39FB70AA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7E1E0611" w14:textId="77777777" w:rsidR="00E77BBF" w:rsidRDefault="00E77BB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0DBB1FC" w14:textId="77777777" w:rsidR="00E77BBF" w:rsidRDefault="00000000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1. pololetí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733"/>
        <w:gridCol w:w="774"/>
        <w:gridCol w:w="938"/>
        <w:gridCol w:w="2208"/>
        <w:gridCol w:w="714"/>
        <w:gridCol w:w="687"/>
        <w:gridCol w:w="962"/>
      </w:tblGrid>
      <w:tr w:rsidR="00E77BBF" w14:paraId="78337F20" w14:textId="77777777">
        <w:trPr>
          <w:trHeight w:val="283"/>
        </w:trPr>
        <w:tc>
          <w:tcPr>
            <w:tcW w:w="11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747FB78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F870C26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AE9FAAE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2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D4295C4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0E784EA8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386E3D54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E77BBF" w14:paraId="5A05AFB7" w14:textId="77777777">
        <w:trPr>
          <w:trHeight w:val="283"/>
        </w:trPr>
        <w:tc>
          <w:tcPr>
            <w:tcW w:w="1119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A0F6FE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05E97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6A9AB69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21ABD7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CA48FF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3F5F3C13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43906BC9" w14:textId="77777777" w:rsidR="00E77BBF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pol. 2023</w:t>
            </w:r>
          </w:p>
        </w:tc>
        <w:tc>
          <w:tcPr>
            <w:tcW w:w="532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3D16B" w14:textId="77777777" w:rsidR="00E77BBF" w:rsidRDefault="00E77B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77BBF" w14:paraId="01FCC18C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2E20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Tabákové výrobky a náhražky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15617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510,4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48B39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1 061,0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1DE1B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550,6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1A694F7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Výrobky obsahující tabák a nikotin (k vdechování bez spalování)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19AF1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5DF32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-1 157,1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46AA37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-1 082,3</w:t>
            </w:r>
          </w:p>
        </w:tc>
      </w:tr>
      <w:tr w:rsidR="00E77BBF" w14:paraId="7E6F55CD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99C8D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BB983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163,0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CA2203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673,5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8785E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510,5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6028232A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D9EA0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-403,3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F424B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-1 043,6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30C12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-640,3</w:t>
            </w:r>
          </w:p>
        </w:tc>
      </w:tr>
      <w:tr w:rsidR="00E77BBF" w14:paraId="54D32D46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B88BF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F9B0D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734,2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01534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1 009,0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E5000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274,7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493F8EBF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Ethylakohol nedenatur. nad 80% 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540CA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77512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-500,0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70BB6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-457,3</w:t>
            </w:r>
          </w:p>
        </w:tc>
      </w:tr>
      <w:tr w:rsidR="00E77BBF" w14:paraId="20A0D19E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CB238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Cukrovinky neobsahující kakao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CDD55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7FA53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986,0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F1BA4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265,9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0484B980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Vejce 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CD067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437,9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7EE2F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179,6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D5295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-258,3</w:t>
            </w:r>
          </w:p>
        </w:tc>
      </w:tr>
      <w:tr w:rsidR="00E77BBF" w14:paraId="70E71D56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966567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BCF37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-410,0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D3F36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-153,8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2E20A5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256,2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75A72C96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Banány vč. plantejnů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665DB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-1 435,1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27278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-1 675,2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252AC9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-240,1</w:t>
            </w:r>
          </w:p>
        </w:tc>
      </w:tr>
      <w:tr w:rsidR="00E77BBF" w14:paraId="1A7A6DAE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5D4E8C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Káva 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9B36B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-439,2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8DD21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-196,8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C148C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242,4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11127395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Rostliny a jejich části používané farmacii 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E8DAD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-95,4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1F6CE6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-316,5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19FC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-221,0</w:t>
            </w:r>
          </w:p>
        </w:tc>
      </w:tr>
      <w:tr w:rsidR="00E77BBF" w14:paraId="43231059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CE7976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skořápkové ovoce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16881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-864,9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70E874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-628,5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925FC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236,4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7C71A451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a konzervy z ryb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B9B2C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0B95B8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-493,4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7B742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-214,8</w:t>
            </w:r>
          </w:p>
        </w:tc>
      </w:tr>
      <w:tr w:rsidR="00E77BBF" w14:paraId="604FF585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36F190" w14:textId="77777777" w:rsidR="00E77BBF" w:rsidRDefault="000000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DDE2E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197,4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582B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8584EB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152,7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404919AA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 a nezpracovaný tabákový odpad 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6A76F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-573,4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636E6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-764,2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900D0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-190,7</w:t>
            </w:r>
          </w:p>
        </w:tc>
      </w:tr>
      <w:tr w:rsidR="00E77BBF" w14:paraId="40D3CCD2" w14:textId="77777777">
        <w:trPr>
          <w:trHeight w:val="340"/>
        </w:trPr>
        <w:tc>
          <w:tcPr>
            <w:tcW w:w="11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8AC974" w14:textId="77777777" w:rsidR="00E77BBF" w:rsidRDefault="000000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F54B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133,4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40ACF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284,2</w:t>
            </w:r>
          </w:p>
        </w:tc>
        <w:tc>
          <w:tcPr>
            <w:tcW w:w="5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3969E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150,8</w:t>
            </w:r>
          </w:p>
        </w:tc>
        <w:tc>
          <w:tcPr>
            <w:tcW w:w="1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2EA1D1C3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Pektiny</w:t>
            </w:r>
          </w:p>
        </w:tc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F8FAD0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BAB04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-85,4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09DF9A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-190,4</w:t>
            </w:r>
          </w:p>
        </w:tc>
      </w:tr>
      <w:tr w:rsidR="00E77BBF" w14:paraId="0F1C4484" w14:textId="77777777">
        <w:trPr>
          <w:trHeight w:val="340"/>
        </w:trPr>
        <w:tc>
          <w:tcPr>
            <w:tcW w:w="1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55EC5" w14:textId="77777777" w:rsidR="00E77BBF" w:rsidRDefault="000000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Výtažky a koncentráty kávy a čaje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1742D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155,9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29632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8F0AE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144,3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0" w:type="dxa"/>
              <w:right w:w="28" w:type="dxa"/>
            </w:tcMar>
            <w:vAlign w:val="center"/>
            <w:hideMark/>
          </w:tcPr>
          <w:p w14:paraId="784607FE" w14:textId="77777777" w:rsidR="00E77BBF" w:rsidRDefault="0000000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AD91BC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-60,9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BCB9E1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-247,4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33CBBF" w14:textId="77777777" w:rsidR="00E77BBF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-186,5</w:t>
            </w:r>
          </w:p>
        </w:tc>
      </w:tr>
    </w:tbl>
    <w:p w14:paraId="4A7D4588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2E15A7B" w14:textId="77777777" w:rsidR="00E77BBF" w:rsidRDefault="0000000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5A5905FC" w14:textId="77777777" w:rsidR="00E77BBF" w:rsidRDefault="00E77BB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4478491" w14:textId="77777777" w:rsidR="00E77BBF" w:rsidRDefault="00E77BB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6B5775B" w14:textId="77777777" w:rsidR="00E77BBF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2018 až 2023 podle čtvrtletí (mld. Kč) </w:t>
      </w:r>
    </w:p>
    <w:p w14:paraId="5AB0BF3D" w14:textId="77777777" w:rsidR="00E77BBF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3023A1CF" wp14:editId="62034B2D">
            <wp:extent cx="5762625" cy="2943225"/>
            <wp:effectExtent l="0" t="0" r="9525" b="9525"/>
            <wp:docPr id="4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A5778D" w14:textId="77777777" w:rsidR="00E77BBF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14:paraId="6BE847BE" w14:textId="77777777" w:rsidR="00E77BBF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491536F7" w14:textId="77777777" w:rsidR="00E77BBF" w:rsidRDefault="00E77BBF">
      <w:pPr>
        <w:spacing w:line="276" w:lineRule="auto"/>
        <w:ind w:firstLine="708"/>
        <w:rPr>
          <w:szCs w:val="22"/>
        </w:rPr>
      </w:pPr>
    </w:p>
    <w:p w14:paraId="4DEA6DC8" w14:textId="77777777" w:rsidR="00E77BBF" w:rsidRDefault="00E77BBF">
      <w:pPr>
        <w:spacing w:line="276" w:lineRule="auto"/>
        <w:ind w:firstLine="708"/>
      </w:pPr>
    </w:p>
    <w:p w14:paraId="35827982" w14:textId="77777777" w:rsidR="00E77BBF" w:rsidRDefault="00000000">
      <w:pPr>
        <w:pStyle w:val="TabNadpis"/>
        <w:ind w:left="0" w:firstLine="0"/>
        <w:rPr>
          <w:rFonts w:cs="Arial"/>
          <w:b w:val="0"/>
          <w:szCs w:val="16"/>
        </w:rPr>
      </w:pPr>
      <w:r>
        <w:rPr>
          <w:rFonts w:cs="Arial"/>
          <w:sz w:val="22"/>
        </w:rPr>
        <w:t>Tabulka 5 – Vývoj AZO ČR v letech 2018 až 2023 podle pololetí (mld. Kč)</w:t>
      </w:r>
    </w:p>
    <w:p w14:paraId="697C409F" w14:textId="77777777" w:rsidR="00E77BBF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3367FA67" wp14:editId="36FE2154">
            <wp:extent cx="5759450" cy="1913255"/>
            <wp:effectExtent l="0" t="0" r="0" b="0"/>
            <wp:docPr id="5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1024" w14:textId="77777777" w:rsidR="00E77BBF" w:rsidRDefault="0000000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3C202300" w14:textId="77777777" w:rsidR="00E77BBF" w:rsidRDefault="00000000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2023 </w:t>
      </w:r>
    </w:p>
    <w:p w14:paraId="37EB7C62" w14:textId="77777777" w:rsidR="00E77BBF" w:rsidRDefault="00E77BB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</w:p>
    <w:p w14:paraId="600F9D15" w14:textId="77777777" w:rsidR="00E77BBF" w:rsidRDefault="00000000">
      <w:pPr>
        <w:jc w:val="left"/>
        <w:rPr>
          <w:rFonts w:eastAsia="Times New Roman"/>
          <w:b/>
          <w:szCs w:val="20"/>
          <w:lang w:eastAsia="cs-CZ"/>
        </w:rPr>
      </w:pPr>
      <w:r>
        <w:br w:type="page"/>
      </w:r>
    </w:p>
    <w:p w14:paraId="520A1488" w14:textId="77777777" w:rsidR="00E77BBF" w:rsidRDefault="00000000">
      <w:pPr>
        <w:pStyle w:val="TabNadpis"/>
        <w:keepNext w:val="0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6 – Vývoj AZO ČR v letech 2020 až 2023 podle čtvrtletí (mld. Kč)</w:t>
      </w:r>
    </w:p>
    <w:p w14:paraId="67C28071" w14:textId="77777777" w:rsidR="00E77BBF" w:rsidRDefault="00000000">
      <w:pPr>
        <w:rPr>
          <w:rFonts w:cstheme="minorBidi"/>
          <w:lang w:eastAsia="cs-CZ"/>
        </w:rPr>
      </w:pPr>
      <w:r>
        <w:rPr>
          <w:noProof/>
        </w:rPr>
        <w:drawing>
          <wp:inline distT="0" distB="0" distL="0" distR="0" wp14:anchorId="4E515A2C" wp14:editId="21FD2ED7">
            <wp:extent cx="5759450" cy="3760470"/>
            <wp:effectExtent l="0" t="0" r="0" b="0"/>
            <wp:docPr id="6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637E" w14:textId="77777777" w:rsidR="00E77BBF" w:rsidRDefault="00000000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74E39696" w14:textId="77777777" w:rsidR="00E77BBF" w:rsidRDefault="00000000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srpen 2023</w:t>
      </w:r>
    </w:p>
    <w:p w14:paraId="5A14F313" w14:textId="77777777" w:rsidR="00E77BBF" w:rsidRDefault="00E77BBF">
      <w:pPr>
        <w:rPr>
          <w:lang w:eastAsia="cs-CZ"/>
        </w:rPr>
      </w:pPr>
    </w:p>
    <w:p w14:paraId="70BE0008" w14:textId="77777777" w:rsidR="00E77BBF" w:rsidRDefault="00000000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7 – Vývoj AZO ČR se zeměmi EU 27 v letech 2020 až 2023 podle čtvrtletí (mld. Kč)</w:t>
      </w:r>
    </w:p>
    <w:p w14:paraId="441434D5" w14:textId="77777777" w:rsidR="00E77BBF" w:rsidRDefault="00000000">
      <w:pPr>
        <w:rPr>
          <w:rFonts w:cstheme="minorBidi"/>
          <w:lang w:eastAsia="cs-CZ"/>
        </w:rPr>
      </w:pPr>
      <w:r>
        <w:rPr>
          <w:noProof/>
        </w:rPr>
        <w:drawing>
          <wp:inline distT="0" distB="0" distL="0" distR="0" wp14:anchorId="08FAB451" wp14:editId="14E44279">
            <wp:extent cx="5759450" cy="3760470"/>
            <wp:effectExtent l="0" t="0" r="0" b="0"/>
            <wp:docPr id="7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BA805" w14:textId="77777777" w:rsidR="00E77BBF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ČSÚ – Databáze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</w:p>
    <w:p w14:paraId="49A99D16" w14:textId="77777777" w:rsidR="00E77BBF" w:rsidRDefault="00E77BBF">
      <w:pPr>
        <w:pStyle w:val="TabNadpis"/>
        <w:keepNext w:val="0"/>
        <w:rPr>
          <w:rFonts w:cs="Arial"/>
          <w:sz w:val="16"/>
          <w:szCs w:val="16"/>
        </w:rPr>
      </w:pPr>
    </w:p>
    <w:p w14:paraId="0AFC2398" w14:textId="77777777" w:rsidR="00E77BBF" w:rsidRDefault="00000000">
      <w:pPr>
        <w:pStyle w:val="TabNadpis"/>
        <w:keepNext w:val="0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2020 až 2023 podle čtvrtletí (mld. Kč)</w:t>
      </w:r>
    </w:p>
    <w:p w14:paraId="05EE4674" w14:textId="77777777" w:rsidR="00E77BBF" w:rsidRDefault="00000000">
      <w:pPr>
        <w:rPr>
          <w:i/>
          <w:sz w:val="16"/>
          <w:szCs w:val="16"/>
        </w:rPr>
      </w:pPr>
      <w:bookmarkStart w:id="0" w:name="_Toc417464156"/>
      <w:r>
        <w:rPr>
          <w:noProof/>
        </w:rPr>
        <w:drawing>
          <wp:inline distT="0" distB="0" distL="0" distR="0" wp14:anchorId="13D6D488" wp14:editId="33A41E34">
            <wp:extent cx="5759450" cy="3760470"/>
            <wp:effectExtent l="0" t="0" r="0" b="0"/>
            <wp:docPr id="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8784" w14:textId="77777777" w:rsidR="00E77BBF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v</w:t>
      </w:r>
      <w:r>
        <w:rPr>
          <w:i/>
          <w:sz w:val="16"/>
          <w:szCs w:val="16"/>
        </w:rPr>
        <w:t>ýpočty jsou provedeny z nezaokrouhlených dat.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 xml:space="preserve">ČSÚ – Databáze pohybu zboží přes hranice, srpen 2023 </w:t>
      </w:r>
    </w:p>
    <w:p w14:paraId="38888F59" w14:textId="77777777" w:rsidR="00E77BBF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69F00C3E" w14:textId="77777777" w:rsidR="00E77BBF" w:rsidRDefault="00000000">
      <w:pPr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2018 až 2023 podle čtvrtletí (mld. Kč)</w:t>
      </w:r>
      <w:bookmarkEnd w:id="0"/>
    </w:p>
    <w:p w14:paraId="3912883B" w14:textId="77777777" w:rsidR="00E77BBF" w:rsidRDefault="00000000">
      <w:pPr>
        <w:spacing w:line="0" w:lineRule="atLeast"/>
        <w:rPr>
          <w:rFonts w:eastAsia="Times New Roman"/>
          <w:b/>
          <w:noProof/>
          <w:szCs w:val="20"/>
          <w:lang w:eastAsia="cs-CZ"/>
        </w:rPr>
      </w:pPr>
      <w:bookmarkStart w:id="1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 wp14:anchorId="3A277E98" wp14:editId="18304E8F">
            <wp:extent cx="5759450" cy="3150870"/>
            <wp:effectExtent l="0" t="0" r="0" b="0"/>
            <wp:docPr id="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13E1" w14:textId="77777777" w:rsidR="00E77BBF" w:rsidRDefault="00000000">
      <w:pPr>
        <w:rPr>
          <w:rFonts w:asciiTheme="minorHAnsi" w:eastAsiaTheme="minorHAnsi" w:hAnsiTheme="minorHAnsi"/>
          <w:i/>
          <w:sz w:val="18"/>
          <w:szCs w:val="22"/>
        </w:rPr>
      </w:pPr>
      <w:r>
        <w:rPr>
          <w:i/>
          <w:sz w:val="16"/>
          <w:szCs w:val="16"/>
        </w:rPr>
        <w:t>Zdroj: ČSÚ – Databáze pohybu zboží přes hranice, srpen 2023</w:t>
      </w:r>
    </w:p>
    <w:p w14:paraId="1F646D6A" w14:textId="77777777" w:rsidR="00E77BBF" w:rsidRDefault="00E77BBF">
      <w:pPr>
        <w:rPr>
          <w:b/>
          <w:sz w:val="18"/>
          <w:highlight w:val="yellow"/>
        </w:rPr>
      </w:pPr>
    </w:p>
    <w:p w14:paraId="6AC64AB4" w14:textId="77777777" w:rsidR="00E77BBF" w:rsidRDefault="00000000">
      <w:pPr>
        <w:pStyle w:val="Styl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2018 až 2023 podle čtvrtletí (mld. Kč)</w:t>
      </w:r>
    </w:p>
    <w:p w14:paraId="542CDB5E" w14:textId="77777777" w:rsidR="00E77BBF" w:rsidRDefault="00000000">
      <w:pPr>
        <w:spacing w:line="0" w:lineRule="atLeast"/>
        <w:rPr>
          <w:rFonts w:cstheme="minorBidi"/>
          <w:noProof/>
          <w:szCs w:val="22"/>
        </w:rPr>
      </w:pPr>
      <w:r>
        <w:rPr>
          <w:noProof/>
        </w:rPr>
        <w:drawing>
          <wp:inline distT="0" distB="0" distL="0" distR="0" wp14:anchorId="1042866A" wp14:editId="632B4867">
            <wp:extent cx="5759450" cy="3296285"/>
            <wp:effectExtent l="0" t="0" r="0" b="0"/>
            <wp:docPr id="10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8847" w14:textId="77777777" w:rsidR="00E77BBF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2023 </w:t>
      </w:r>
    </w:p>
    <w:p w14:paraId="0EC0F18D" w14:textId="77777777" w:rsidR="00E77BBF" w:rsidRDefault="00E77BBF">
      <w:pPr>
        <w:rPr>
          <w:b/>
        </w:rPr>
      </w:pPr>
    </w:p>
    <w:p w14:paraId="1AFF54F7" w14:textId="77777777" w:rsidR="00E77BBF" w:rsidRDefault="00E77BBF">
      <w:pPr>
        <w:rPr>
          <w:b/>
        </w:rPr>
      </w:pPr>
    </w:p>
    <w:p w14:paraId="506B37AF" w14:textId="77777777" w:rsidR="00E77BBF" w:rsidRDefault="00000000">
      <w:pPr>
        <w:jc w:val="left"/>
        <w:rPr>
          <w:b/>
        </w:rPr>
      </w:pPr>
      <w:r>
        <w:rPr>
          <w:b/>
        </w:rPr>
        <w:br w:type="page"/>
      </w:r>
    </w:p>
    <w:p w14:paraId="3C441801" w14:textId="77777777" w:rsidR="00E77BBF" w:rsidRDefault="00E77BBF">
      <w:pPr>
        <w:rPr>
          <w:b/>
        </w:rPr>
      </w:pPr>
    </w:p>
    <w:p w14:paraId="1B59B9A1" w14:textId="77777777" w:rsidR="00E77BBF" w:rsidRDefault="00E77BBF">
      <w:pPr>
        <w:rPr>
          <w:b/>
        </w:rPr>
      </w:pPr>
    </w:p>
    <w:p w14:paraId="5C33121B" w14:textId="77777777" w:rsidR="00E77BBF" w:rsidRDefault="00E77BBF">
      <w:pPr>
        <w:rPr>
          <w:b/>
        </w:rPr>
      </w:pPr>
    </w:p>
    <w:p w14:paraId="2E4A6DA0" w14:textId="77777777" w:rsidR="00E77BBF" w:rsidRDefault="00000000">
      <w:pPr>
        <w:rPr>
          <w:rFonts w:eastAsiaTheme="minorHAnsi"/>
          <w:b/>
          <w:szCs w:val="22"/>
        </w:rPr>
      </w:pPr>
      <w:r>
        <w:rPr>
          <w:b/>
        </w:rPr>
        <w:t>Graf 4 – Přehled 10 zemí s nejvyšším podílem na vývozu agrárního zboží z ČR do EU v roce 2022 (vlevo) a v 1. pololetí 2023 (vpravo)</w:t>
      </w:r>
    </w:p>
    <w:p w14:paraId="785C6877" w14:textId="77777777" w:rsidR="00E77BBF" w:rsidRDefault="00E77BBF">
      <w:pPr>
        <w:rPr>
          <w:rFonts w:asciiTheme="minorHAnsi" w:hAnsiTheme="minorHAnsi"/>
          <w:i/>
          <w:sz w:val="18"/>
        </w:rPr>
      </w:pPr>
    </w:p>
    <w:p w14:paraId="0C20992A" w14:textId="77777777" w:rsidR="00E77BBF" w:rsidRDefault="00000000">
      <w:pPr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 wp14:anchorId="0E858498" wp14:editId="333C6149">
            <wp:extent cx="5941102" cy="2243470"/>
            <wp:effectExtent l="0" t="0" r="2540" b="4445"/>
            <wp:docPr id="11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02" cy="22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A484" w14:textId="77777777" w:rsidR="00E77BBF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2023 </w:t>
      </w:r>
    </w:p>
    <w:p w14:paraId="02D44801" w14:textId="77777777" w:rsidR="00E77BBF" w:rsidRDefault="00E77BBF">
      <w:pPr>
        <w:rPr>
          <w:b/>
          <w:sz w:val="18"/>
          <w:szCs w:val="22"/>
        </w:rPr>
      </w:pPr>
    </w:p>
    <w:p w14:paraId="24DAFEFE" w14:textId="77777777" w:rsidR="00E77BBF" w:rsidRDefault="00E77BBF">
      <w:pPr>
        <w:rPr>
          <w:rFonts w:cstheme="minorBidi"/>
          <w:b/>
        </w:rPr>
      </w:pPr>
    </w:p>
    <w:p w14:paraId="00752BB3" w14:textId="77777777" w:rsidR="00E77BBF" w:rsidRDefault="00E77BBF">
      <w:pPr>
        <w:rPr>
          <w:b/>
        </w:rPr>
      </w:pPr>
    </w:p>
    <w:p w14:paraId="2A1A18D8" w14:textId="77777777" w:rsidR="00E77BBF" w:rsidRDefault="00000000">
      <w:pPr>
        <w:rPr>
          <w:b/>
        </w:rPr>
      </w:pPr>
      <w:r>
        <w:rPr>
          <w:b/>
        </w:rPr>
        <w:t>Graf 5 – Přehled 10 zemí s nejvyšším podílem na vývozu agrárního zboží z ČR do třetích zemí v roce 2022 (vlevo) a v 1. pololetí 2023 (vpravo)</w:t>
      </w:r>
    </w:p>
    <w:p w14:paraId="4637CD64" w14:textId="77777777" w:rsidR="00E77BBF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2E6CEB7D" wp14:editId="2392D634">
            <wp:extent cx="6100033" cy="2286000"/>
            <wp:effectExtent l="0" t="0" r="0" b="0"/>
            <wp:docPr id="12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6023" w14:textId="77777777" w:rsidR="00E77BBF" w:rsidRDefault="00E77BBF">
      <w:pPr>
        <w:rPr>
          <w:b/>
        </w:rPr>
      </w:pPr>
    </w:p>
    <w:p w14:paraId="5FA808F6" w14:textId="77777777" w:rsidR="00E77BBF" w:rsidRDefault="00000000">
      <w:pPr>
        <w:spacing w:line="0" w:lineRule="atLeast"/>
        <w:contextualSpacing/>
        <w:rPr>
          <w:rFonts w:asciiTheme="minorHAnsi" w:hAnsiTheme="minorHAnsi"/>
          <w:b/>
          <w:sz w:val="20"/>
          <w:szCs w:val="14"/>
        </w:rPr>
      </w:pPr>
      <w:r>
        <w:rPr>
          <w:i/>
          <w:sz w:val="16"/>
          <w:szCs w:val="22"/>
        </w:rPr>
        <w:t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>pohybu zboží přes hranice, srpen 2023</w:t>
      </w:r>
      <w:r>
        <w:rPr>
          <w:b/>
          <w:sz w:val="20"/>
          <w:szCs w:val="14"/>
        </w:rPr>
        <w:t xml:space="preserve"> </w:t>
      </w:r>
    </w:p>
    <w:p w14:paraId="4C6CB4EF" w14:textId="77777777" w:rsidR="00E77BBF" w:rsidRDefault="00E77BBF">
      <w:pPr>
        <w:rPr>
          <w:b/>
          <w:sz w:val="18"/>
          <w:szCs w:val="22"/>
        </w:rPr>
      </w:pPr>
    </w:p>
    <w:p w14:paraId="0166206D" w14:textId="77777777" w:rsidR="00E77BBF" w:rsidRDefault="00000000">
      <w:pPr>
        <w:jc w:val="left"/>
        <w:rPr>
          <w:rFonts w:cstheme="minorBidi"/>
          <w:b/>
        </w:rPr>
      </w:pPr>
      <w:r>
        <w:rPr>
          <w:rFonts w:cstheme="minorBidi"/>
          <w:b/>
        </w:rPr>
        <w:br w:type="page"/>
      </w:r>
    </w:p>
    <w:p w14:paraId="45F6A2C8" w14:textId="77777777" w:rsidR="00E77BBF" w:rsidRDefault="00E77BBF">
      <w:pPr>
        <w:rPr>
          <w:rFonts w:cstheme="minorBidi"/>
          <w:b/>
        </w:rPr>
      </w:pPr>
    </w:p>
    <w:p w14:paraId="21CF9A71" w14:textId="77777777" w:rsidR="00E77BBF" w:rsidRDefault="00E77BBF">
      <w:pPr>
        <w:rPr>
          <w:rFonts w:cstheme="minorBidi"/>
          <w:b/>
        </w:rPr>
      </w:pPr>
    </w:p>
    <w:p w14:paraId="3464A071" w14:textId="77777777" w:rsidR="00E77BBF" w:rsidRDefault="00E77BBF">
      <w:pPr>
        <w:rPr>
          <w:b/>
        </w:rPr>
      </w:pPr>
    </w:p>
    <w:p w14:paraId="136BDC28" w14:textId="77777777" w:rsidR="00E77BBF" w:rsidRDefault="00000000">
      <w:pPr>
        <w:rPr>
          <w:b/>
        </w:rPr>
      </w:pPr>
      <w:r>
        <w:rPr>
          <w:b/>
        </w:rPr>
        <w:t>Graf 6 – Přehled 10 zemí s nejvyšším podílem na dovozu agrárního zboží z EU do ČR v roce 2022 (vlevo) a v 1. pololetí 2023 (vpravo)</w:t>
      </w:r>
    </w:p>
    <w:p w14:paraId="2BE99A7D" w14:textId="77777777" w:rsidR="00E77BBF" w:rsidRDefault="00E77BBF">
      <w:pPr>
        <w:rPr>
          <w:rFonts w:asciiTheme="minorHAnsi" w:hAnsiTheme="minorHAnsi"/>
          <w:i/>
          <w:sz w:val="18"/>
        </w:rPr>
      </w:pPr>
    </w:p>
    <w:p w14:paraId="3BD86A7A" w14:textId="77777777" w:rsidR="00E77BBF" w:rsidRDefault="00000000">
      <w:pPr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 wp14:anchorId="533060C8" wp14:editId="01FDB4F9">
            <wp:extent cx="5759450" cy="2194560"/>
            <wp:effectExtent l="0" t="0" r="0" b="0"/>
            <wp:docPr id="13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A594" w14:textId="77777777" w:rsidR="00E77BBF" w:rsidRDefault="00E77BBF">
      <w:pPr>
        <w:rPr>
          <w:i/>
          <w:sz w:val="18"/>
        </w:rPr>
      </w:pPr>
    </w:p>
    <w:p w14:paraId="6DD2281B" w14:textId="77777777" w:rsidR="00E77BBF" w:rsidRDefault="00000000">
      <w:pPr>
        <w:spacing w:line="0" w:lineRule="atLeast"/>
        <w:contextualSpacing/>
        <w:rPr>
          <w:b/>
          <w:sz w:val="16"/>
          <w:szCs w:val="22"/>
        </w:rPr>
      </w:pPr>
      <w:r>
        <w:rPr>
          <w:i/>
          <w:sz w:val="16"/>
          <w:szCs w:val="22"/>
        </w:rPr>
        <w:t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>pohybu zboží přes hranice, srpen 2023</w:t>
      </w:r>
      <w:r>
        <w:rPr>
          <w:b/>
          <w:sz w:val="20"/>
          <w:szCs w:val="14"/>
        </w:rPr>
        <w:t xml:space="preserve"> </w:t>
      </w:r>
    </w:p>
    <w:p w14:paraId="32599210" w14:textId="77777777" w:rsidR="00E77BBF" w:rsidRDefault="00E77BBF">
      <w:pPr>
        <w:rPr>
          <w:b/>
        </w:rPr>
      </w:pPr>
    </w:p>
    <w:p w14:paraId="31454C33" w14:textId="77777777" w:rsidR="00E77BBF" w:rsidRDefault="00E77BBF">
      <w:pPr>
        <w:rPr>
          <w:b/>
        </w:rPr>
      </w:pPr>
    </w:p>
    <w:p w14:paraId="4A8918F1" w14:textId="77777777" w:rsidR="00E77BBF" w:rsidRDefault="00E77BBF">
      <w:pPr>
        <w:rPr>
          <w:b/>
        </w:rPr>
      </w:pPr>
    </w:p>
    <w:p w14:paraId="088EBC48" w14:textId="77777777" w:rsidR="00E77BBF" w:rsidRDefault="00000000">
      <w:pPr>
        <w:rPr>
          <w:b/>
        </w:rPr>
      </w:pPr>
      <w:r>
        <w:rPr>
          <w:b/>
        </w:rPr>
        <w:t>Graf 7 - Přehled 10 zemí s nejvyšším podílem na dovozu agrárního zboží z třetích zemí do ČR v roce 2022 (vlevo) a v 1. pololetí 2023 (vpravo)</w:t>
      </w:r>
    </w:p>
    <w:p w14:paraId="66D9CAC1" w14:textId="77777777" w:rsidR="00E77BBF" w:rsidRDefault="00E77BBF">
      <w:pPr>
        <w:rPr>
          <w:b/>
        </w:rPr>
      </w:pPr>
    </w:p>
    <w:p w14:paraId="4C443B95" w14:textId="77777777" w:rsidR="00E77BBF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7D145F8A" wp14:editId="11A21BFC">
            <wp:extent cx="6053978" cy="2264735"/>
            <wp:effectExtent l="0" t="0" r="4445" b="2540"/>
            <wp:docPr id="1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78" cy="22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AB6D" w14:textId="77777777" w:rsidR="00E77BBF" w:rsidRDefault="00000000">
      <w:pPr>
        <w:spacing w:line="80" w:lineRule="atLeast"/>
        <w:contextualSpacing/>
        <w:rPr>
          <w:i/>
          <w:sz w:val="16"/>
          <w:szCs w:val="22"/>
        </w:rPr>
      </w:pPr>
      <w:r>
        <w:rPr>
          <w:i/>
          <w:sz w:val="16"/>
          <w:szCs w:val="22"/>
        </w:rPr>
        <w:t xml:space="preserve">Zdroj: ČSÚ – Databáze pohybu zboží přes hranice, srpen 2023 </w:t>
      </w:r>
    </w:p>
    <w:p w14:paraId="77F36ECD" w14:textId="77777777" w:rsidR="00E77BBF" w:rsidRDefault="00E77BBF">
      <w:pPr>
        <w:rPr>
          <w:rFonts w:asciiTheme="minorHAnsi" w:hAnsiTheme="minorHAnsi"/>
          <w:b/>
          <w:sz w:val="18"/>
          <w:szCs w:val="22"/>
        </w:rPr>
      </w:pPr>
    </w:p>
    <w:p w14:paraId="50EEB891" w14:textId="77777777" w:rsidR="00E77BBF" w:rsidRDefault="00E77BBF">
      <w:pPr>
        <w:spacing w:after="240" w:line="276" w:lineRule="auto"/>
        <w:ind w:firstLine="708"/>
      </w:pPr>
    </w:p>
    <w:p w14:paraId="712B6385" w14:textId="77777777" w:rsidR="00E77BBF" w:rsidRDefault="00000000">
      <w:pPr>
        <w:spacing w:line="276" w:lineRule="auto"/>
        <w:rPr>
          <w:rFonts w:eastAsiaTheme="minorHAnsi"/>
          <w:szCs w:val="22"/>
        </w:rPr>
      </w:pPr>
      <w:r>
        <w:t>Údaje o zahraničním obchodu za 1. pololetí 2023 zveřejnil Český statistický úřad 7. srpna 2023. Data za 1. pololetí roku 2023, ale i rok 2022 jsou předběžná.</w:t>
      </w:r>
    </w:p>
    <w:p w14:paraId="2895E525" w14:textId="148D866B" w:rsidR="00E77BBF" w:rsidRDefault="00000000">
      <w:pPr>
        <w:spacing w:after="240" w:line="276" w:lineRule="auto"/>
      </w:pPr>
      <w:r>
        <w:t>Materiál zpracoval odbor 14150 na základě aktuálních statistických údajů ČSÚ a podkladů ÚZEI.</w:t>
      </w:r>
    </w:p>
    <w:p w14:paraId="198491CA" w14:textId="77777777" w:rsidR="00E77BBF" w:rsidRDefault="00000000">
      <w:pPr>
        <w:spacing w:after="240" w:line="276" w:lineRule="auto"/>
      </w:pPr>
      <w:r>
        <w:t>Dne 9. srpna 2023</w:t>
      </w:r>
    </w:p>
    <w:p w14:paraId="0DD9A197" w14:textId="77777777" w:rsidR="00E77BBF" w:rsidRDefault="00E77BBF">
      <w:pPr>
        <w:spacing w:after="240" w:line="276" w:lineRule="auto"/>
        <w:ind w:firstLine="708"/>
      </w:pPr>
    </w:p>
    <w:p w14:paraId="7118E1F6" w14:textId="77777777" w:rsidR="00E77BBF" w:rsidRDefault="00E77BBF">
      <w:pPr>
        <w:spacing w:after="240" w:line="276" w:lineRule="auto"/>
        <w:ind w:firstLine="708"/>
      </w:pPr>
    </w:p>
    <w:p w14:paraId="62A19ED7" w14:textId="77777777" w:rsidR="00E77BBF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14:paraId="6D577D56" w14:textId="77777777" w:rsidR="00E77BBF" w:rsidRDefault="00E77BBF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50704746" w14:textId="77777777" w:rsidR="00E77BBF" w:rsidRDefault="00000000">
      <w:pPr>
        <w:pStyle w:val="Styl2"/>
        <w:numPr>
          <w:ilvl w:val="0"/>
          <w:numId w:val="26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E6B2C28" w14:textId="77777777" w:rsidR="00E77BBF" w:rsidRDefault="00000000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2018 až 2023</w:t>
      </w:r>
    </w:p>
    <w:p w14:paraId="7089F1AA" w14:textId="77777777" w:rsidR="00E77BBF" w:rsidRDefault="00000000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7708FFC4" w14:textId="77777777" w:rsidR="00E77BBF" w:rsidRDefault="00E77BBF">
      <w:pPr>
        <w:pStyle w:val="Styl2"/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</w:p>
    <w:p w14:paraId="2F48E988" w14:textId="77777777" w:rsidR="00E77BBF" w:rsidRDefault="00000000">
      <w:pPr>
        <w:pStyle w:val="Styl2"/>
        <w:numPr>
          <w:ilvl w:val="0"/>
          <w:numId w:val="26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1B33CC77" w14:textId="77777777" w:rsidR="00E77BBF" w:rsidRDefault="00000000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2D37C4B4" w14:textId="77777777" w:rsidR="00E77BBF" w:rsidRDefault="00000000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2018 až 2023</w:t>
      </w:r>
    </w:p>
    <w:p w14:paraId="4F81EE34" w14:textId="77777777" w:rsidR="00E77BBF" w:rsidRDefault="00E77BBF">
      <w:pPr>
        <w:pStyle w:val="Styl2"/>
        <w:spacing w:after="0"/>
        <w:ind w:left="284" w:hanging="284"/>
        <w:rPr>
          <w:rFonts w:cs="Arial"/>
          <w:sz w:val="22"/>
          <w:szCs w:val="22"/>
          <w:u w:val="single"/>
        </w:rPr>
      </w:pPr>
    </w:p>
    <w:p w14:paraId="469C1F4D" w14:textId="77777777" w:rsidR="00E77BBF" w:rsidRDefault="00000000">
      <w:pPr>
        <w:pStyle w:val="Styl2"/>
        <w:numPr>
          <w:ilvl w:val="0"/>
          <w:numId w:val="26"/>
        </w:numPr>
        <w:spacing w:after="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14:paraId="6E69A1B7" w14:textId="77777777" w:rsidR="00E77BBF" w:rsidRDefault="00000000">
      <w:pPr>
        <w:pStyle w:val="Styl2"/>
        <w:spacing w:before="60"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2018 až 2023</w:t>
      </w:r>
    </w:p>
    <w:p w14:paraId="656DD407" w14:textId="77777777" w:rsidR="00E77BBF" w:rsidRDefault="00000000">
      <w:pPr>
        <w:pStyle w:val="Styl2"/>
        <w:spacing w:before="60"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2018 až 2023</w:t>
      </w:r>
    </w:p>
    <w:p w14:paraId="416BF5C5" w14:textId="77777777" w:rsidR="00E77BBF" w:rsidRDefault="00E77BBF">
      <w:pPr>
        <w:pStyle w:val="Styl2"/>
        <w:spacing w:before="60" w:after="0"/>
        <w:ind w:left="284" w:hanging="284"/>
        <w:rPr>
          <w:rFonts w:cs="Arial"/>
          <w:sz w:val="22"/>
          <w:szCs w:val="22"/>
        </w:rPr>
      </w:pPr>
    </w:p>
    <w:p w14:paraId="65C06F9D" w14:textId="77777777" w:rsidR="00E77BB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Pozn.: Komodity definované 4-místným kódem HS jsou do tabulek 1 až 3 vybrány na základě hodnot vývozů a dovozů ve finančním vyjádření za období roku 2018 až 1. pololetí roku 2023 a řazeny jsou podle roku 2022. Data jsou na této úrovni HS bez dopočtů.</w:t>
      </w:r>
    </w:p>
    <w:p w14:paraId="2286CD34" w14:textId="77777777" w:rsidR="00E77BBF" w:rsidRDefault="00E77BBF">
      <w:pPr>
        <w:ind w:left="284" w:hanging="284"/>
        <w:rPr>
          <w:rFonts w:asciiTheme="minorHAnsi" w:hAnsiTheme="minorHAnsi"/>
          <w:i/>
          <w:szCs w:val="22"/>
        </w:rPr>
      </w:pPr>
    </w:p>
    <w:p w14:paraId="287AFE56" w14:textId="77777777" w:rsidR="00E77BBF" w:rsidRDefault="00000000">
      <w:pPr>
        <w:pStyle w:val="Styl2"/>
        <w:numPr>
          <w:ilvl w:val="0"/>
          <w:numId w:val="26"/>
        </w:numPr>
        <w:spacing w:before="60" w:after="6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117BF6CC" w14:textId="77777777" w:rsidR="00E77BBF" w:rsidRDefault="00000000">
      <w:pPr>
        <w:pStyle w:val="Styl2"/>
        <w:numPr>
          <w:ilvl w:val="0"/>
          <w:numId w:val="26"/>
        </w:numPr>
        <w:spacing w:before="60" w:after="6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5BB7A382" w14:textId="77777777" w:rsidR="00E77BBF" w:rsidRDefault="00E77BBF">
      <w:pPr>
        <w:ind w:left="284" w:hanging="284"/>
        <w:rPr>
          <w:b/>
          <w:szCs w:val="22"/>
        </w:rPr>
      </w:pPr>
    </w:p>
    <w:p w14:paraId="2F08A34B" w14:textId="77777777" w:rsidR="00E77BB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796D51C1" w14:textId="77777777" w:rsidR="00E77BBF" w:rsidRDefault="00E77BBF">
      <w:pPr>
        <w:rPr>
          <w:rFonts w:eastAsia="Times New Roman"/>
          <w:i/>
          <w:sz w:val="24"/>
          <w:lang w:eastAsia="cs-CZ"/>
        </w:rPr>
        <w:sectPr w:rsidR="00E77BBF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276" w:right="1418" w:bottom="1276" w:left="1418" w:header="709" w:footer="454" w:gutter="0"/>
          <w:cols w:space="708"/>
          <w:docGrid w:linePitch="299"/>
        </w:sectPr>
      </w:pPr>
    </w:p>
    <w:p w14:paraId="71E64D53" w14:textId="77777777" w:rsidR="00E77BBF" w:rsidRDefault="00000000">
      <w:pPr>
        <w:pStyle w:val="Styl2"/>
        <w:numPr>
          <w:ilvl w:val="0"/>
          <w:numId w:val="2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2B315EDE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2018 až 2023</w:t>
      </w:r>
    </w:p>
    <w:p w14:paraId="20112BEA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3185DDA" wp14:editId="28D53CBA">
            <wp:extent cx="8846288" cy="4698188"/>
            <wp:effectExtent l="0" t="0" r="0" b="7620"/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288" cy="46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6B80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2018 až 1. pololetí roku 2023 a řazeny podle roku 2022. </w:t>
      </w:r>
      <w:r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02FEEFE3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2023 </w:t>
      </w:r>
    </w:p>
    <w:p w14:paraId="0945778A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490792B8" w14:textId="77777777" w:rsidR="00E77BBF" w:rsidRDefault="00000000">
      <w:pPr>
        <w:rPr>
          <w:i/>
          <w:szCs w:val="22"/>
        </w:rPr>
      </w:pPr>
      <w:r>
        <w:rPr>
          <w:noProof/>
        </w:rPr>
        <w:drawing>
          <wp:inline distT="0" distB="0" distL="0" distR="0" wp14:anchorId="17877ED2" wp14:editId="4418EA32">
            <wp:extent cx="8850099" cy="4529455"/>
            <wp:effectExtent l="0" t="0" r="8255" b="4445"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099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8669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pololetí roku 2023 a řazeny podle roku 2022.</w:t>
      </w:r>
    </w:p>
    <w:p w14:paraId="56F53213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názvů: HS 1905 pekařské zboží vč. sušenek a oplatek, HS 2402 cigarety vč. doutníků a doutníčků a HS 2106 potravinové přípravky jiné.</w:t>
      </w:r>
    </w:p>
    <w:p w14:paraId="178EEB21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 w:val="16"/>
          <w:szCs w:val="16"/>
        </w:rPr>
        <w:t xml:space="preserve"> </w:t>
      </w:r>
    </w:p>
    <w:p w14:paraId="60DF1DDD" w14:textId="77777777" w:rsidR="00E77BBF" w:rsidRDefault="00000000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6A898F0F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3A42223E" w14:textId="77777777" w:rsidR="00E77BBF" w:rsidRDefault="00000000">
      <w:pPr>
        <w:rPr>
          <w:i/>
          <w:szCs w:val="16"/>
        </w:rPr>
      </w:pPr>
      <w:r>
        <w:rPr>
          <w:noProof/>
        </w:rPr>
        <w:drawing>
          <wp:inline distT="0" distB="0" distL="0" distR="0" wp14:anchorId="0ADD6AF1" wp14:editId="6B5C4CCE">
            <wp:extent cx="8862154" cy="4412512"/>
            <wp:effectExtent l="0" t="0" r="0" b="7620"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154" cy="441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7EAA" w14:textId="77777777" w:rsidR="00E77BBF" w:rsidRDefault="00000000">
      <w:pPr>
        <w:rPr>
          <w:szCs w:val="22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pololetí roku 2023 a řazeny podle roku 2022.</w:t>
      </w:r>
      <w:r>
        <w:rPr>
          <w:i/>
          <w:sz w:val="16"/>
          <w:szCs w:val="16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Cs w:val="16"/>
        </w:rPr>
        <w:t xml:space="preserve"> </w:t>
      </w:r>
      <w:r>
        <w:rPr>
          <w:i/>
          <w:sz w:val="16"/>
          <w:szCs w:val="16"/>
        </w:rPr>
        <w:br w:type="page"/>
      </w:r>
      <w:r>
        <w:rPr>
          <w:rFonts w:eastAsia="Times New Roman"/>
          <w:b/>
          <w:lang w:eastAsia="cs-CZ"/>
        </w:rPr>
        <w:t>Tabulka – Vývoj dovozu 10 nejvíce dovážených agrárních položek z EU 27 do ČR v roce 2018 až 2023</w:t>
      </w:r>
    </w:p>
    <w:p w14:paraId="2A9006F1" w14:textId="77777777" w:rsidR="00E77BBF" w:rsidRDefault="00000000">
      <w:pPr>
        <w:spacing w:line="240" w:lineRule="atLeast"/>
        <w:contextualSpacing/>
        <w:rPr>
          <w:rFonts w:cstheme="minorBidi"/>
          <w:noProof/>
          <w:lang w:eastAsia="cs-CZ"/>
        </w:rPr>
      </w:pPr>
      <w:r>
        <w:rPr>
          <w:noProof/>
        </w:rPr>
        <w:drawing>
          <wp:inline distT="0" distB="0" distL="0" distR="0" wp14:anchorId="4EFB6FF3" wp14:editId="1F029386">
            <wp:extent cx="8817614" cy="4380614"/>
            <wp:effectExtent l="0" t="0" r="2540" b="1270"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614" cy="438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1474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2018 až 1. pololetí roku 2023 a řazeny podle roku 2022. </w:t>
      </w:r>
      <w:r>
        <w:rPr>
          <w:i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14:paraId="77889C39" w14:textId="77777777" w:rsidR="00E77BBF" w:rsidRDefault="00000000">
      <w:pPr>
        <w:contextualSpacing/>
        <w:rPr>
          <w:rFonts w:asciiTheme="minorHAnsi" w:hAnsiTheme="minorHAnsi"/>
          <w:szCs w:val="22"/>
          <w:u w:val="single"/>
        </w:rPr>
      </w:pPr>
      <w:r>
        <w:rPr>
          <w:i/>
          <w:sz w:val="16"/>
          <w:szCs w:val="16"/>
        </w:rPr>
        <w:t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Cs w:val="16"/>
        </w:rPr>
        <w:t xml:space="preserve"> </w:t>
      </w:r>
      <w:r>
        <w:rPr>
          <w:b/>
          <w:i/>
          <w:sz w:val="16"/>
          <w:szCs w:val="16"/>
        </w:rPr>
        <w:br w:type="page"/>
      </w:r>
      <w:r>
        <w:rPr>
          <w:b/>
          <w:u w:val="single"/>
        </w:rPr>
        <w:t>3</w:t>
      </w:r>
      <w:r>
        <w:rPr>
          <w:rFonts w:eastAsia="Times New Roman"/>
          <w:b/>
          <w:iCs/>
          <w:color w:val="000000"/>
          <w:u w:val="single"/>
          <w:lang w:eastAsia="cs-CZ"/>
        </w:rPr>
        <w:t>) Zahraniční obchod ČR – mimounijní země (včetně Spojeného království)</w:t>
      </w:r>
    </w:p>
    <w:p w14:paraId="4EDE4119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2018 až 2023</w:t>
      </w:r>
    </w:p>
    <w:p w14:paraId="3F7448CE" w14:textId="77777777" w:rsidR="00E77BBF" w:rsidRDefault="00000000">
      <w:pPr>
        <w:rPr>
          <w:i/>
          <w:szCs w:val="22"/>
        </w:rPr>
      </w:pPr>
      <w:r>
        <w:rPr>
          <w:noProof/>
        </w:rPr>
        <w:drawing>
          <wp:inline distT="0" distB="0" distL="0" distR="0" wp14:anchorId="40E231C7" wp14:editId="409C7EAD">
            <wp:extent cx="8890481" cy="4455042"/>
            <wp:effectExtent l="0" t="0" r="6350" b="3175"/>
            <wp:docPr id="1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481" cy="445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CFD0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pololetí roku 2023 a řazeny podle roku 2022.</w:t>
      </w:r>
    </w:p>
    <w:p w14:paraId="58465B9E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1302 pektiny vč. rostlinných šťáv a výtažků a HS 2106 potravinové přípravky jiné.</w:t>
      </w:r>
    </w:p>
    <w:p w14:paraId="1E359C62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srpen 2023</w:t>
      </w:r>
      <w:r>
        <w:rPr>
          <w:b/>
          <w:sz w:val="16"/>
          <w:szCs w:val="16"/>
        </w:rPr>
        <w:t xml:space="preserve"> </w:t>
      </w:r>
    </w:p>
    <w:p w14:paraId="09BD293B" w14:textId="77777777" w:rsidR="00E77BBF" w:rsidRDefault="00000000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b w:val="0"/>
          <w:sz w:val="24"/>
          <w:szCs w:val="24"/>
        </w:rPr>
        <w:br w:type="column"/>
      </w:r>
      <w:r>
        <w:rPr>
          <w:rFonts w:cs="Arial"/>
          <w:sz w:val="22"/>
          <w:szCs w:val="22"/>
        </w:rPr>
        <w:t>Tabulka – Vývoj dovozu 10 nejvíce dovážených agrárních položek z mimounijních zemí do ČR v roce 2018 až 2023</w:t>
      </w:r>
    </w:p>
    <w:p w14:paraId="38E376CE" w14:textId="77777777" w:rsidR="00E77BBF" w:rsidRDefault="00000000">
      <w:pPr>
        <w:rPr>
          <w:i/>
          <w:sz w:val="18"/>
          <w:szCs w:val="16"/>
        </w:rPr>
      </w:pPr>
      <w:r>
        <w:rPr>
          <w:noProof/>
        </w:rPr>
        <w:drawing>
          <wp:inline distT="0" distB="0" distL="0" distR="0" wp14:anchorId="4EB49574" wp14:editId="00D65E7B">
            <wp:extent cx="8924624" cy="4433777"/>
            <wp:effectExtent l="0" t="0" r="0" b="5080"/>
            <wp:docPr id="2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624" cy="44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836C" w14:textId="77777777" w:rsidR="00E77BBF" w:rsidRDefault="0000000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2018 až 1. pololetí roku 2023 a řazeny podle roku 2022.</w:t>
      </w:r>
    </w:p>
    <w:p w14:paraId="172B7DC2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nezpracovaný.</w:t>
      </w:r>
    </w:p>
    <w:p w14:paraId="7A8445CD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 w:val="16"/>
          <w:szCs w:val="16"/>
        </w:rPr>
        <w:t xml:space="preserve"> </w:t>
      </w:r>
    </w:p>
    <w:p w14:paraId="3F76D0DE" w14:textId="77777777" w:rsidR="00E77BBF" w:rsidRDefault="00E77BBF">
      <w:pPr>
        <w:sectPr w:rsidR="00E77BBF">
          <w:pgSz w:w="16838" w:h="11906" w:orient="landscape"/>
          <w:pgMar w:top="1361" w:right="1418" w:bottom="1361" w:left="1418" w:header="709" w:footer="709" w:gutter="0"/>
          <w:cols w:space="708"/>
        </w:sectPr>
      </w:pPr>
    </w:p>
    <w:p w14:paraId="4C37B72E" w14:textId="77777777" w:rsidR="00E77BBF" w:rsidRDefault="00000000">
      <w:pPr>
        <w:pStyle w:val="Nadpis3"/>
        <w:jc w:val="left"/>
        <w:rPr>
          <w:szCs w:val="22"/>
        </w:rPr>
      </w:pPr>
      <w:bookmarkStart w:id="2" w:name="_Toc413330137"/>
      <w:r>
        <w:rPr>
          <w:szCs w:val="22"/>
        </w:rPr>
        <w:t>4) Pořadí zemí dle hodnoty agrárního vývozu z ČR</w:t>
      </w:r>
      <w:bookmarkEnd w:id="2"/>
      <w:r>
        <w:rPr>
          <w:szCs w:val="22"/>
        </w:rPr>
        <w:t xml:space="preserve"> </w:t>
      </w:r>
    </w:p>
    <w:p w14:paraId="107B3415" w14:textId="77777777" w:rsidR="00E77BBF" w:rsidRDefault="00000000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 distT="0" distB="0" distL="0" distR="0" wp14:anchorId="3AF35845" wp14:editId="248E22C4">
            <wp:extent cx="5759450" cy="6406515"/>
            <wp:effectExtent l="0" t="0" r="0" b="0"/>
            <wp:docPr id="2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D155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 27, řazeno podle 1. pol. roku 2023.</w:t>
      </w:r>
    </w:p>
    <w:p w14:paraId="7F30A38F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vývozu 98,3 %.</w:t>
      </w:r>
    </w:p>
    <w:p w14:paraId="07FFA48E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 w:val="16"/>
          <w:szCs w:val="16"/>
        </w:rPr>
        <w:t xml:space="preserve"> </w:t>
      </w:r>
    </w:p>
    <w:p w14:paraId="75589BF2" w14:textId="77777777" w:rsidR="00E77BBF" w:rsidRDefault="00E77BBF">
      <w:pPr>
        <w:rPr>
          <w:rFonts w:asciiTheme="minorHAnsi" w:hAnsiTheme="minorHAnsi"/>
          <w:szCs w:val="22"/>
        </w:rPr>
      </w:pPr>
    </w:p>
    <w:p w14:paraId="6363943D" w14:textId="77777777" w:rsidR="00E77BBF" w:rsidRDefault="00000000">
      <w:pPr>
        <w:pStyle w:val="Nadpis3"/>
        <w:jc w:val="left"/>
        <w:rPr>
          <w:szCs w:val="22"/>
        </w:rPr>
      </w:pPr>
      <w:r>
        <w:rPr>
          <w:rFonts w:eastAsia="Times New Roman"/>
          <w:color w:val="000000"/>
          <w:sz w:val="18"/>
          <w:szCs w:val="18"/>
          <w:lang w:eastAsia="cs-CZ"/>
        </w:rPr>
        <w:br w:type="page"/>
      </w:r>
      <w:bookmarkStart w:id="3" w:name="_Toc384374704"/>
      <w:bookmarkStart w:id="4" w:name="_Toc413330138"/>
      <w:r>
        <w:rPr>
          <w:szCs w:val="22"/>
        </w:rPr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3"/>
      <w:bookmarkEnd w:id="4"/>
      <w:r>
        <w:rPr>
          <w:szCs w:val="22"/>
        </w:rPr>
        <w:t xml:space="preserve">  </w:t>
      </w:r>
    </w:p>
    <w:p w14:paraId="7E3AD5C7" w14:textId="77777777" w:rsidR="00E77BBF" w:rsidRDefault="00000000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 distT="0" distB="0" distL="0" distR="0" wp14:anchorId="7BD87405" wp14:editId="39E7D436">
            <wp:extent cx="5759450" cy="6663690"/>
            <wp:effectExtent l="0" t="0" r="0" b="3810"/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2988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 27, řazeno podle 1. pol. roku 2023.</w:t>
      </w:r>
    </w:p>
    <w:p w14:paraId="49CE1229" w14:textId="77777777" w:rsidR="00E77BBF" w:rsidRDefault="00000000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dovozu 96,3 %.</w:t>
      </w:r>
    </w:p>
    <w:p w14:paraId="019B7AE0" w14:textId="77777777" w:rsidR="00E77BBF" w:rsidRDefault="00000000">
      <w:pPr>
        <w:contextualSpacing/>
        <w:rPr>
          <w:szCs w:val="22"/>
        </w:rPr>
      </w:pPr>
      <w:r>
        <w:rPr>
          <w:i/>
          <w:sz w:val="16"/>
          <w:szCs w:val="16"/>
        </w:rPr>
        <w:t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pohybu zboží přes hranice, srpen 2023</w:t>
      </w:r>
      <w:r>
        <w:rPr>
          <w:b/>
          <w:sz w:val="16"/>
          <w:szCs w:val="16"/>
        </w:rPr>
        <w:t xml:space="preserve"> </w:t>
      </w:r>
    </w:p>
    <w:p w14:paraId="44C59DE5" w14:textId="77777777" w:rsidR="00E77BBF" w:rsidRDefault="00E77BBF">
      <w:pPr>
        <w:rPr>
          <w:rFonts w:asciiTheme="minorHAnsi" w:hAnsiTheme="minorHAnsi"/>
        </w:rPr>
      </w:pPr>
    </w:p>
    <w:p w14:paraId="6C472EB6" w14:textId="77777777" w:rsidR="00E77BBF" w:rsidRDefault="00E77BBF">
      <w:pPr>
        <w:jc w:val="center"/>
        <w:rPr>
          <w:rFonts w:cstheme="minorBidi"/>
        </w:rPr>
      </w:pPr>
    </w:p>
    <w:p w14:paraId="01D7DD3A" w14:textId="77777777" w:rsidR="00E77BBF" w:rsidRDefault="00E77BBF">
      <w:pPr>
        <w:spacing w:before="240"/>
      </w:pPr>
    </w:p>
    <w:sectPr w:rsidR="00E77BBF">
      <w:headerReference w:type="even" r:id="rId33"/>
      <w:headerReference w:type="default" r:id="rId34"/>
      <w:footerReference w:type="default" r:id="rId35"/>
      <w:headerReference w:type="first" r:id="rId3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82F4" w14:textId="77777777" w:rsidR="00D326E3" w:rsidRDefault="00D326E3">
      <w:r>
        <w:separator/>
      </w:r>
    </w:p>
  </w:endnote>
  <w:endnote w:type="continuationSeparator" w:id="0">
    <w:p w14:paraId="28197B45" w14:textId="77777777" w:rsidR="00D326E3" w:rsidRDefault="00D3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MT2">
    <w:altName w:val="Arial"/>
    <w:charset w:val="38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088274"/>
      <w:docPartObj>
        <w:docPartGallery w:val="Page Numbers (Bottom of Page)"/>
        <w:docPartUnique/>
      </w:docPartObj>
    </w:sdtPr>
    <w:sdtContent>
      <w:p w14:paraId="6035F967" w14:textId="77777777" w:rsidR="00E77BBF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11ADDA6F" w14:textId="77777777" w:rsidR="00E77BBF" w:rsidRDefault="00E77B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961659"/>
      <w:docPartObj>
        <w:docPartGallery w:val="Page Numbers (Bottom of Page)"/>
        <w:docPartUnique/>
      </w:docPartObj>
    </w:sdtPr>
    <w:sdtContent>
      <w:p w14:paraId="4C358353" w14:textId="77777777" w:rsidR="00E77BBF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3BFBD4EE" w14:textId="77777777" w:rsidR="00E77BBF" w:rsidRDefault="00E77B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8830" w14:textId="304E0ACE" w:rsidR="00E77BBF" w:rsidRDefault="00000000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19</w:t>
    </w:r>
    <w:r>
      <w:fldChar w:fldCharType="end"/>
    </w:r>
  </w:p>
  <w:p w14:paraId="782C439E" w14:textId="77777777" w:rsidR="00E77BBF" w:rsidRDefault="00E77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860C" w14:textId="77777777" w:rsidR="00D326E3" w:rsidRDefault="00D326E3">
      <w:r>
        <w:separator/>
      </w:r>
    </w:p>
  </w:footnote>
  <w:footnote w:type="continuationSeparator" w:id="0">
    <w:p w14:paraId="158E99A5" w14:textId="77777777" w:rsidR="00D326E3" w:rsidRDefault="00D326E3">
      <w:r>
        <w:continuationSeparator/>
      </w:r>
    </w:p>
  </w:footnote>
  <w:footnote w:id="1">
    <w:p w14:paraId="7C013EA0" w14:textId="77777777" w:rsidR="00E77BBF" w:rsidRDefault="00000000">
      <w:pPr>
        <w:pStyle w:val="Textpoznpodarou"/>
        <w:ind w:firstLine="0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MT2" w:hAnsi="ArialMT2" w:cs="ArialMT2"/>
          <w:sz w:val="18"/>
          <w:szCs w:val="18"/>
          <w:lang w:eastAsia="ar-SA"/>
        </w:rPr>
        <w:t>Čína, Spojené arabské emiráty, Srbsko, USA, Libanon a Japonsko.</w:t>
      </w:r>
    </w:p>
  </w:footnote>
  <w:footnote w:id="2">
    <w:p w14:paraId="56CC6B0C" w14:textId="77777777" w:rsidR="00E77BBF" w:rsidRDefault="00000000">
      <w:pPr>
        <w:pStyle w:val="Textpoznpodarou"/>
        <w:tabs>
          <w:tab w:val="left" w:pos="142"/>
        </w:tabs>
        <w:ind w:firstLine="0"/>
        <w:rPr>
          <w:rStyle w:val="Znakapoznpodarou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ab/>
      </w:r>
      <w:r>
        <w:rPr>
          <w:sz w:val="18"/>
          <w:szCs w:val="18"/>
        </w:rPr>
        <w:t>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1ACF" w14:textId="77777777" w:rsidR="00E77BBF" w:rsidRDefault="00000000">
    <w:r>
      <w:pict w14:anchorId="4CFCF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6c7142-6d27-42c7-a967-b590c203d703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1123" w14:textId="77777777" w:rsidR="00E77BBF" w:rsidRDefault="00000000">
    <w:r>
      <w:pict w14:anchorId="1FF81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173ffcf-a952-489f-a198-8c3386f67cb2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F96" w14:textId="77777777" w:rsidR="00E77BBF" w:rsidRDefault="00000000">
    <w:r>
      <w:pict w14:anchorId="0C1C1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577ef1-4afc-4848-879a-6bdfbc2da41e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21E8" w14:textId="77777777" w:rsidR="00E77BBF" w:rsidRDefault="00000000">
    <w:r>
      <w:pict w14:anchorId="2C927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adca96c-029c-4429-b830-f8cc09557fc0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BDA8" w14:textId="77777777" w:rsidR="00E77BBF" w:rsidRDefault="00000000">
    <w:r>
      <w:pict w14:anchorId="096DA7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604f900-68fe-4e7a-98d5-e8773e627570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684E" w14:textId="77777777" w:rsidR="00E77BBF" w:rsidRDefault="00000000">
    <w:r>
      <w:pict w14:anchorId="4EC523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230134-fcdc-44fd-ac72-f2914e0b2cef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9FBEA7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multilevel"/>
    <w:tmpl w:val="CA50EC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726061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C632F7B"/>
    <w:multiLevelType w:val="multilevel"/>
    <w:tmpl w:val="18C25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85B"/>
    <w:multiLevelType w:val="multilevel"/>
    <w:tmpl w:val="1076EC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EACD"/>
    <w:multiLevelType w:val="multilevel"/>
    <w:tmpl w:val="9E34BE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5088EB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6208733"/>
    <w:multiLevelType w:val="multilevel"/>
    <w:tmpl w:val="62BE95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72ACAB"/>
    <w:multiLevelType w:val="multilevel"/>
    <w:tmpl w:val="DCAC33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B186991"/>
    <w:multiLevelType w:val="multilevel"/>
    <w:tmpl w:val="53405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B4A0"/>
    <w:multiLevelType w:val="multilevel"/>
    <w:tmpl w:val="2B1A11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FD044F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CFC389"/>
    <w:multiLevelType w:val="multilevel"/>
    <w:tmpl w:val="1B96BF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B66A9B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CC29C6"/>
    <w:multiLevelType w:val="multilevel"/>
    <w:tmpl w:val="9E24329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2885"/>
    <w:multiLevelType w:val="multilevel"/>
    <w:tmpl w:val="35B23E48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3DD3"/>
    <w:multiLevelType w:val="multilevel"/>
    <w:tmpl w:val="3A624E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86047AB"/>
    <w:multiLevelType w:val="multilevel"/>
    <w:tmpl w:val="8A4273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A582832"/>
    <w:multiLevelType w:val="multilevel"/>
    <w:tmpl w:val="85BA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F2C9"/>
    <w:multiLevelType w:val="multilevel"/>
    <w:tmpl w:val="242E6C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0F37353"/>
    <w:multiLevelType w:val="multilevel"/>
    <w:tmpl w:val="7E9E1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9FA4F6"/>
    <w:multiLevelType w:val="multilevel"/>
    <w:tmpl w:val="F60CC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5C04013"/>
    <w:multiLevelType w:val="multilevel"/>
    <w:tmpl w:val="7318D79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F98F"/>
    <w:multiLevelType w:val="multilevel"/>
    <w:tmpl w:val="F8FA3A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2090A5E"/>
    <w:multiLevelType w:val="multilevel"/>
    <w:tmpl w:val="5C3C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943930">
    <w:abstractNumId w:val="0"/>
  </w:num>
  <w:num w:numId="2" w16cid:durableId="642395176">
    <w:abstractNumId w:val="1"/>
  </w:num>
  <w:num w:numId="3" w16cid:durableId="1386295030">
    <w:abstractNumId w:val="2"/>
  </w:num>
  <w:num w:numId="4" w16cid:durableId="659966146">
    <w:abstractNumId w:val="3"/>
  </w:num>
  <w:num w:numId="5" w16cid:durableId="273557354">
    <w:abstractNumId w:val="4"/>
  </w:num>
  <w:num w:numId="6" w16cid:durableId="805657544">
    <w:abstractNumId w:val="5"/>
  </w:num>
  <w:num w:numId="7" w16cid:durableId="1432779361">
    <w:abstractNumId w:val="6"/>
  </w:num>
  <w:num w:numId="8" w16cid:durableId="65031174">
    <w:abstractNumId w:val="7"/>
  </w:num>
  <w:num w:numId="9" w16cid:durableId="2061129036">
    <w:abstractNumId w:val="8"/>
  </w:num>
  <w:num w:numId="10" w16cid:durableId="2081902808">
    <w:abstractNumId w:val="9"/>
  </w:num>
  <w:num w:numId="11" w16cid:durableId="2059893018">
    <w:abstractNumId w:val="10"/>
  </w:num>
  <w:num w:numId="12" w16cid:durableId="1897357167">
    <w:abstractNumId w:val="11"/>
  </w:num>
  <w:num w:numId="13" w16cid:durableId="1215120195">
    <w:abstractNumId w:val="12"/>
  </w:num>
  <w:num w:numId="14" w16cid:durableId="1404990527">
    <w:abstractNumId w:val="13"/>
  </w:num>
  <w:num w:numId="15" w16cid:durableId="40448509">
    <w:abstractNumId w:val="14"/>
  </w:num>
  <w:num w:numId="16" w16cid:durableId="1822844879">
    <w:abstractNumId w:val="15"/>
  </w:num>
  <w:num w:numId="17" w16cid:durableId="1450853024">
    <w:abstractNumId w:val="16"/>
  </w:num>
  <w:num w:numId="18" w16cid:durableId="2006086629">
    <w:abstractNumId w:val="17"/>
  </w:num>
  <w:num w:numId="19" w16cid:durableId="393967870">
    <w:abstractNumId w:val="18"/>
  </w:num>
  <w:num w:numId="20" w16cid:durableId="807211475">
    <w:abstractNumId w:val="19"/>
  </w:num>
  <w:num w:numId="21" w16cid:durableId="1949775888">
    <w:abstractNumId w:val="20"/>
  </w:num>
  <w:num w:numId="22" w16cid:durableId="1109617764">
    <w:abstractNumId w:val="21"/>
  </w:num>
  <w:num w:numId="23" w16cid:durableId="1759248808">
    <w:abstractNumId w:val="22"/>
  </w:num>
  <w:num w:numId="24" w16cid:durableId="1727870017">
    <w:abstractNumId w:val="23"/>
  </w:num>
  <w:num w:numId="25" w16cid:durableId="1664511191">
    <w:abstractNumId w:val="24"/>
  </w:num>
  <w:num w:numId="26" w16cid:durableId="79563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344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6548466"/>
    <w:docVar w:name="dms_carovy_kod_cj" w:val="MZE-48622/2023-14151"/>
    <w:docVar w:name="dms_cj" w:val="MZE-48622/2023-14151"/>
    <w:docVar w:name="dms_cj_skn" w:val="%%%nevyplněno%%%"/>
    <w:docVar w:name="dms_datum" w:val="14. 8. 2023"/>
    <w:docVar w:name="dms_datum_textem" w:val="14. srpna 2023"/>
    <w:docVar w:name="dms_datum_vzniku" w:val="9. 8. 2023 9:38:50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23"/>
    <w:docVar w:name="dms_VNVSpravce" w:val="%%%nevyplněno%%%"/>
    <w:docVar w:name="dms_zpracoval_jmeno" w:val="Bc. Erika Křížová"/>
    <w:docVar w:name="dms_zpracoval_mail" w:val="Erika.Krizova@mze.cz"/>
    <w:docVar w:name="dms_zpracoval_telefon" w:val="221812737"/>
  </w:docVars>
  <w:rsids>
    <w:rsidRoot w:val="00E77BBF"/>
    <w:rsid w:val="007810C4"/>
    <w:rsid w:val="007A004B"/>
    <w:rsid w:val="00D326E3"/>
    <w:rsid w:val="00E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11CF343"/>
  <w15:docId w15:val="{40734561-190E-47A2-8AAD-225D2E7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3.emf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2.emf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32" Type="http://schemas.openxmlformats.org/officeDocument/2006/relationships/image" Target="media/image19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image" Target="media/image15.emf"/><Relationship Id="rId36" Type="http://schemas.openxmlformats.org/officeDocument/2006/relationships/header" Target="header6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uzei-my.sharepoint.com/personal/menzlova_josefina_uzei_cz/Documents/Dokumenty/AZO_2023/KRATKY%20VYSTUP_srpen_2023/AZO_srpen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245951268336956E-2"/>
          <c:y val="0.11790278888935675"/>
          <c:w val="0.89427031151369463"/>
          <c:h val="0.68636529220782361"/>
        </c:manualLayout>
      </c:layout>
      <c:lineChart>
        <c:grouping val="standard"/>
        <c:varyColors val="0"/>
        <c:ser>
          <c:idx val="0"/>
          <c:order val="0"/>
          <c:tx>
            <c:strRef>
              <c:f>Sheet1!$L$2</c:f>
              <c:strCache>
                <c:ptCount val="1"/>
                <c:pt idx="0">
                  <c:v>Celkem</c:v>
                </c:pt>
              </c:strCache>
            </c:strRef>
          </c:tx>
          <c:cat>
            <c:strRef>
              <c:f>'Sheet1'!$A$7:$A$28</c:f>
              <c:strCache>
                <c:ptCount val="22"/>
                <c:pt idx="0">
                  <c:v>1/2018</c:v>
                </c:pt>
                <c:pt idx="1">
                  <c:v>2/2018</c:v>
                </c:pt>
                <c:pt idx="2">
                  <c:v>3/2018</c:v>
                </c:pt>
                <c:pt idx="3">
                  <c:v>4/2018</c:v>
                </c:pt>
                <c:pt idx="4">
                  <c:v>1/2019</c:v>
                </c:pt>
                <c:pt idx="5">
                  <c:v>2/2019</c:v>
                </c:pt>
                <c:pt idx="6">
                  <c:v>3/2019</c:v>
                </c:pt>
                <c:pt idx="7">
                  <c:v>4/2019</c:v>
                </c:pt>
                <c:pt idx="8">
                  <c:v>1/2020</c:v>
                </c:pt>
                <c:pt idx="9">
                  <c:v>2/2020</c:v>
                </c:pt>
                <c:pt idx="10">
                  <c:v>3/2020</c:v>
                </c:pt>
                <c:pt idx="11">
                  <c:v>4/2020</c:v>
                </c:pt>
                <c:pt idx="12">
                  <c:v>1/2021</c:v>
                </c:pt>
                <c:pt idx="13">
                  <c:v>2/2021</c:v>
                </c:pt>
                <c:pt idx="14">
                  <c:v>3/2021</c:v>
                </c:pt>
                <c:pt idx="15">
                  <c:v>4/2021</c:v>
                </c:pt>
                <c:pt idx="16">
                  <c:v>1/2022</c:v>
                </c:pt>
                <c:pt idx="17">
                  <c:v>2/2022</c:v>
                </c:pt>
                <c:pt idx="18">
                  <c:v>3/2022</c:v>
                </c:pt>
                <c:pt idx="19">
                  <c:v>4/2022</c:v>
                </c:pt>
                <c:pt idx="20">
                  <c:v>1/2023</c:v>
                </c:pt>
                <c:pt idx="21">
                  <c:v>2/2023</c:v>
                </c:pt>
              </c:strCache>
            </c:strRef>
          </c:cat>
          <c:val>
            <c:numRef>
              <c:f>'Sheet1'!$L$7:$L$28</c:f>
              <c:numCache>
                <c:formatCode>#\ ##0.0</c:formatCode>
                <c:ptCount val="22"/>
                <c:pt idx="0">
                  <c:v>-11.233027999999999</c:v>
                </c:pt>
                <c:pt idx="1">
                  <c:v>-10.100832</c:v>
                </c:pt>
                <c:pt idx="2">
                  <c:v>-8.8832459999999998</c:v>
                </c:pt>
                <c:pt idx="3">
                  <c:v>-11.449342</c:v>
                </c:pt>
                <c:pt idx="4">
                  <c:v>-12.391762</c:v>
                </c:pt>
                <c:pt idx="5">
                  <c:v>-11.928755000000001</c:v>
                </c:pt>
                <c:pt idx="6">
                  <c:v>-10.093659000000001</c:v>
                </c:pt>
                <c:pt idx="7">
                  <c:v>-13.035914</c:v>
                </c:pt>
                <c:pt idx="8">
                  <c:v>-10.947359000000001</c:v>
                </c:pt>
                <c:pt idx="9">
                  <c:v>-9.0732490000000006</c:v>
                </c:pt>
                <c:pt idx="10">
                  <c:v>-9.1684099999999908</c:v>
                </c:pt>
                <c:pt idx="11">
                  <c:v>-7.2278339999999899</c:v>
                </c:pt>
                <c:pt idx="12">
                  <c:v>-6.9320649999999997</c:v>
                </c:pt>
                <c:pt idx="13">
                  <c:v>-11.552419</c:v>
                </c:pt>
                <c:pt idx="14">
                  <c:v>-13.295102</c:v>
                </c:pt>
                <c:pt idx="15">
                  <c:v>-11.786523000000001</c:v>
                </c:pt>
                <c:pt idx="16">
                  <c:v>-9.4688580000000009</c:v>
                </c:pt>
                <c:pt idx="17">
                  <c:v>-12.847576999999999</c:v>
                </c:pt>
                <c:pt idx="18">
                  <c:v>-11.435734</c:v>
                </c:pt>
                <c:pt idx="19">
                  <c:v>-13.004708000000001</c:v>
                </c:pt>
                <c:pt idx="20">
                  <c:v>-11.319993999999999</c:v>
                </c:pt>
                <c:pt idx="21">
                  <c:v>-7.5038929999999899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1A-4014-858F-AE98EE3C173E}"/>
            </c:ext>
          </c:extLst>
        </c:ser>
        <c:ser>
          <c:idx val="1"/>
          <c:order val="1"/>
          <c:tx>
            <c:strRef>
              <c:f>Sheet1!$M$2</c:f>
              <c:strCache>
                <c:ptCount val="1"/>
                <c:pt idx="0">
                  <c:v>s EU 27</c:v>
                </c:pt>
              </c:strCache>
            </c:strRef>
          </c:tx>
          <c:cat>
            <c:strRef>
              <c:f>'Sheet1'!$A$7:$A$28</c:f>
              <c:strCache>
                <c:ptCount val="22"/>
                <c:pt idx="0">
                  <c:v>1/2018</c:v>
                </c:pt>
                <c:pt idx="1">
                  <c:v>2/2018</c:v>
                </c:pt>
                <c:pt idx="2">
                  <c:v>3/2018</c:v>
                </c:pt>
                <c:pt idx="3">
                  <c:v>4/2018</c:v>
                </c:pt>
                <c:pt idx="4">
                  <c:v>1/2019</c:v>
                </c:pt>
                <c:pt idx="5">
                  <c:v>2/2019</c:v>
                </c:pt>
                <c:pt idx="6">
                  <c:v>3/2019</c:v>
                </c:pt>
                <c:pt idx="7">
                  <c:v>4/2019</c:v>
                </c:pt>
                <c:pt idx="8">
                  <c:v>1/2020</c:v>
                </c:pt>
                <c:pt idx="9">
                  <c:v>2/2020</c:v>
                </c:pt>
                <c:pt idx="10">
                  <c:v>3/2020</c:v>
                </c:pt>
                <c:pt idx="11">
                  <c:v>4/2020</c:v>
                </c:pt>
                <c:pt idx="12">
                  <c:v>1/2021</c:v>
                </c:pt>
                <c:pt idx="13">
                  <c:v>2/2021</c:v>
                </c:pt>
                <c:pt idx="14">
                  <c:v>3/2021</c:v>
                </c:pt>
                <c:pt idx="15">
                  <c:v>4/2021</c:v>
                </c:pt>
                <c:pt idx="16">
                  <c:v>1/2022</c:v>
                </c:pt>
                <c:pt idx="17">
                  <c:v>2/2022</c:v>
                </c:pt>
                <c:pt idx="18">
                  <c:v>3/2022</c:v>
                </c:pt>
                <c:pt idx="19">
                  <c:v>4/2022</c:v>
                </c:pt>
                <c:pt idx="20">
                  <c:v>1/2023</c:v>
                </c:pt>
                <c:pt idx="21">
                  <c:v>2/2023</c:v>
                </c:pt>
              </c:strCache>
            </c:strRef>
          </c:cat>
          <c:val>
            <c:numRef>
              <c:f>'Sheet1'!$M$7:$M$28</c:f>
              <c:numCache>
                <c:formatCode>#\ ##0.0</c:formatCode>
                <c:ptCount val="22"/>
                <c:pt idx="0">
                  <c:v>-6.7964510000000002</c:v>
                </c:pt>
                <c:pt idx="1">
                  <c:v>-6.1662810000000103</c:v>
                </c:pt>
                <c:pt idx="2">
                  <c:v>-5.3623099999999999</c:v>
                </c:pt>
                <c:pt idx="3">
                  <c:v>-7.0958519999999998</c:v>
                </c:pt>
                <c:pt idx="4">
                  <c:v>-8.1930680000000002</c:v>
                </c:pt>
                <c:pt idx="5">
                  <c:v>-7.9034940000000002</c:v>
                </c:pt>
                <c:pt idx="6">
                  <c:v>-6.5471290000000097</c:v>
                </c:pt>
                <c:pt idx="7">
                  <c:v>-8.5958500000000004</c:v>
                </c:pt>
                <c:pt idx="8">
                  <c:v>-5.7365000000000004</c:v>
                </c:pt>
                <c:pt idx="9">
                  <c:v>-4.5800539999999996</c:v>
                </c:pt>
                <c:pt idx="10">
                  <c:v>-4.7764350000000002</c:v>
                </c:pt>
                <c:pt idx="11">
                  <c:v>-2.8183400000000001</c:v>
                </c:pt>
                <c:pt idx="12">
                  <c:v>-2.4253070000000001</c:v>
                </c:pt>
                <c:pt idx="13">
                  <c:v>-7.1043440000000002</c:v>
                </c:pt>
                <c:pt idx="14">
                  <c:v>-7.978904</c:v>
                </c:pt>
                <c:pt idx="15">
                  <c:v>-5.5755929999999996</c:v>
                </c:pt>
                <c:pt idx="16">
                  <c:v>-2.704793</c:v>
                </c:pt>
                <c:pt idx="17">
                  <c:v>-6.294327</c:v>
                </c:pt>
                <c:pt idx="18">
                  <c:v>-4.4701679999999904</c:v>
                </c:pt>
                <c:pt idx="19">
                  <c:v>-3.9207750000000101</c:v>
                </c:pt>
                <c:pt idx="20">
                  <c:v>-3.458939</c:v>
                </c:pt>
                <c:pt idx="21">
                  <c:v>-0.23302999999999899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1A-4014-858F-AE98EE3C173E}"/>
            </c:ext>
          </c:extLst>
        </c:ser>
        <c:ser>
          <c:idx val="2"/>
          <c:order val="2"/>
          <c:tx>
            <c:strRef>
              <c:f>Sheet1!$N$2</c:f>
              <c:strCache>
                <c:ptCount val="1"/>
                <c:pt idx="0">
                  <c:v>s TZ</c:v>
                </c:pt>
              </c:strCache>
            </c:strRef>
          </c:tx>
          <c:cat>
            <c:strRef>
              <c:f>'Sheet1'!$A$7:$A$28</c:f>
              <c:strCache>
                <c:ptCount val="22"/>
                <c:pt idx="0">
                  <c:v>1/2018</c:v>
                </c:pt>
                <c:pt idx="1">
                  <c:v>2/2018</c:v>
                </c:pt>
                <c:pt idx="2">
                  <c:v>3/2018</c:v>
                </c:pt>
                <c:pt idx="3">
                  <c:v>4/2018</c:v>
                </c:pt>
                <c:pt idx="4">
                  <c:v>1/2019</c:v>
                </c:pt>
                <c:pt idx="5">
                  <c:v>2/2019</c:v>
                </c:pt>
                <c:pt idx="6">
                  <c:v>3/2019</c:v>
                </c:pt>
                <c:pt idx="7">
                  <c:v>4/2019</c:v>
                </c:pt>
                <c:pt idx="8">
                  <c:v>1/2020</c:v>
                </c:pt>
                <c:pt idx="9">
                  <c:v>2/2020</c:v>
                </c:pt>
                <c:pt idx="10">
                  <c:v>3/2020</c:v>
                </c:pt>
                <c:pt idx="11">
                  <c:v>4/2020</c:v>
                </c:pt>
                <c:pt idx="12">
                  <c:v>1/2021</c:v>
                </c:pt>
                <c:pt idx="13">
                  <c:v>2/2021</c:v>
                </c:pt>
                <c:pt idx="14">
                  <c:v>3/2021</c:v>
                </c:pt>
                <c:pt idx="15">
                  <c:v>4/2021</c:v>
                </c:pt>
                <c:pt idx="16">
                  <c:v>1/2022</c:v>
                </c:pt>
                <c:pt idx="17">
                  <c:v>2/2022</c:v>
                </c:pt>
                <c:pt idx="18">
                  <c:v>3/2022</c:v>
                </c:pt>
                <c:pt idx="19">
                  <c:v>4/2022</c:v>
                </c:pt>
                <c:pt idx="20">
                  <c:v>1/2023</c:v>
                </c:pt>
                <c:pt idx="21">
                  <c:v>2/2023</c:v>
                </c:pt>
              </c:strCache>
            </c:strRef>
          </c:cat>
          <c:val>
            <c:numRef>
              <c:f>'Sheet1'!$N$7:$N$28</c:f>
              <c:numCache>
                <c:formatCode>#\ ##0.0</c:formatCode>
                <c:ptCount val="22"/>
                <c:pt idx="0">
                  <c:v>-4.2604660000000001</c:v>
                </c:pt>
                <c:pt idx="1">
                  <c:v>-3.7656429999999999</c:v>
                </c:pt>
                <c:pt idx="2">
                  <c:v>-3.3822109999999999</c:v>
                </c:pt>
                <c:pt idx="3">
                  <c:v>-4.2363369999999998</c:v>
                </c:pt>
                <c:pt idx="4">
                  <c:v>-4.0526470000000003</c:v>
                </c:pt>
                <c:pt idx="5">
                  <c:v>-3.8823840000000001</c:v>
                </c:pt>
                <c:pt idx="6">
                  <c:v>-3.4372050000000001</c:v>
                </c:pt>
                <c:pt idx="7">
                  <c:v>-4.328443</c:v>
                </c:pt>
                <c:pt idx="8">
                  <c:v>-5.1172959999999996</c:v>
                </c:pt>
                <c:pt idx="9">
                  <c:v>-4.3988870000000002</c:v>
                </c:pt>
                <c:pt idx="10">
                  <c:v>-4.2719820000000004</c:v>
                </c:pt>
                <c:pt idx="11">
                  <c:v>-4.2247810000000001</c:v>
                </c:pt>
                <c:pt idx="12">
                  <c:v>-4.4016450000000003</c:v>
                </c:pt>
                <c:pt idx="13">
                  <c:v>-4.3365359999999997</c:v>
                </c:pt>
                <c:pt idx="14">
                  <c:v>-5.2229080000000003</c:v>
                </c:pt>
                <c:pt idx="15">
                  <c:v>-6.085223</c:v>
                </c:pt>
                <c:pt idx="16">
                  <c:v>-6.5910010000000003</c:v>
                </c:pt>
                <c:pt idx="17">
                  <c:v>-6.3271410000000001</c:v>
                </c:pt>
                <c:pt idx="18">
                  <c:v>-6.735792</c:v>
                </c:pt>
                <c:pt idx="19">
                  <c:v>-8.7566279999999992</c:v>
                </c:pt>
                <c:pt idx="20">
                  <c:v>-7.5776510000000004</c:v>
                </c:pt>
                <c:pt idx="21">
                  <c:v>-6.9978749999999996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1A-4014-858F-AE98EE3C173E}"/>
            </c:ext>
          </c:extLst>
        </c:ser>
        <c:ser>
          <c:idx val="3"/>
          <c:order val="3"/>
          <c:tx>
            <c:strRef>
              <c:f>Sheet1!$O$2</c:f>
              <c:strCache>
                <c:ptCount val="1"/>
                <c:pt idx="0">
                  <c:v>s  EU 14</c:v>
                </c:pt>
              </c:strCache>
            </c:strRef>
          </c:tx>
          <c:marker>
            <c:symbol val="circle"/>
            <c:size val="7"/>
            <c:spPr>
              <a:solidFill>
                <a:srgbClr val="000000"/>
              </a:solidFill>
            </c:spPr>
          </c:marker>
          <c:cat>
            <c:strRef>
              <c:f>'Sheet1'!$A$7:$A$28</c:f>
              <c:strCache>
                <c:ptCount val="22"/>
                <c:pt idx="0">
                  <c:v>1/2018</c:v>
                </c:pt>
                <c:pt idx="1">
                  <c:v>2/2018</c:v>
                </c:pt>
                <c:pt idx="2">
                  <c:v>3/2018</c:v>
                </c:pt>
                <c:pt idx="3">
                  <c:v>4/2018</c:v>
                </c:pt>
                <c:pt idx="4">
                  <c:v>1/2019</c:v>
                </c:pt>
                <c:pt idx="5">
                  <c:v>2/2019</c:v>
                </c:pt>
                <c:pt idx="6">
                  <c:v>3/2019</c:v>
                </c:pt>
                <c:pt idx="7">
                  <c:v>4/2019</c:v>
                </c:pt>
                <c:pt idx="8">
                  <c:v>1/2020</c:v>
                </c:pt>
                <c:pt idx="9">
                  <c:v>2/2020</c:v>
                </c:pt>
                <c:pt idx="10">
                  <c:v>3/2020</c:v>
                </c:pt>
                <c:pt idx="11">
                  <c:v>4/2020</c:v>
                </c:pt>
                <c:pt idx="12">
                  <c:v>1/2021</c:v>
                </c:pt>
                <c:pt idx="13">
                  <c:v>2/2021</c:v>
                </c:pt>
                <c:pt idx="14">
                  <c:v>3/2021</c:v>
                </c:pt>
                <c:pt idx="15">
                  <c:v>4/2021</c:v>
                </c:pt>
                <c:pt idx="16">
                  <c:v>1/2022</c:v>
                </c:pt>
                <c:pt idx="17">
                  <c:v>2/2022</c:v>
                </c:pt>
                <c:pt idx="18">
                  <c:v>3/2022</c:v>
                </c:pt>
                <c:pt idx="19">
                  <c:v>4/2022</c:v>
                </c:pt>
                <c:pt idx="20">
                  <c:v>1/2023</c:v>
                </c:pt>
                <c:pt idx="21">
                  <c:v>2/2023</c:v>
                </c:pt>
              </c:strCache>
            </c:strRef>
          </c:cat>
          <c:val>
            <c:numRef>
              <c:f>'Sheet1'!$O$7:$O$28</c:f>
              <c:numCache>
                <c:formatCode>#\ ##0.0</c:formatCode>
                <c:ptCount val="22"/>
                <c:pt idx="0">
                  <c:v>-10.434713</c:v>
                </c:pt>
                <c:pt idx="1">
                  <c:v>-9.6357569999999999</c:v>
                </c:pt>
                <c:pt idx="2">
                  <c:v>-6.6902949999999999</c:v>
                </c:pt>
                <c:pt idx="3">
                  <c:v>-9.1637360000000001</c:v>
                </c:pt>
                <c:pt idx="4">
                  <c:v>-10.564019</c:v>
                </c:pt>
                <c:pt idx="5">
                  <c:v>-11.2605</c:v>
                </c:pt>
                <c:pt idx="6">
                  <c:v>-7.5054100000000004</c:v>
                </c:pt>
                <c:pt idx="7">
                  <c:v>-10.625577</c:v>
                </c:pt>
                <c:pt idx="8">
                  <c:v>-9.5459949999999996</c:v>
                </c:pt>
                <c:pt idx="9">
                  <c:v>-7.86754</c:v>
                </c:pt>
                <c:pt idx="10">
                  <c:v>-6.88286</c:v>
                </c:pt>
                <c:pt idx="11">
                  <c:v>-6.2943220000000002</c:v>
                </c:pt>
                <c:pt idx="12">
                  <c:v>-6.8639799999999997</c:v>
                </c:pt>
                <c:pt idx="13">
                  <c:v>-10.711107</c:v>
                </c:pt>
                <c:pt idx="14">
                  <c:v>-9.5459460000000007</c:v>
                </c:pt>
                <c:pt idx="15">
                  <c:v>-7.3728379999999998</c:v>
                </c:pt>
                <c:pt idx="16">
                  <c:v>-6.7116220000000002</c:v>
                </c:pt>
                <c:pt idx="17">
                  <c:v>-9.1957199999999997</c:v>
                </c:pt>
                <c:pt idx="18">
                  <c:v>-7.8200849999999997</c:v>
                </c:pt>
                <c:pt idx="19">
                  <c:v>-7.7542020000000003</c:v>
                </c:pt>
                <c:pt idx="20">
                  <c:v>-6.5245539999999904</c:v>
                </c:pt>
                <c:pt idx="21">
                  <c:v>-4.5846730000000004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1A-4014-858F-AE98EE3C173E}"/>
            </c:ext>
          </c:extLst>
        </c:ser>
        <c:ser>
          <c:idx val="4"/>
          <c:order val="4"/>
          <c:tx>
            <c:strRef>
              <c:f>Sheet1!$P$2</c:f>
              <c:strCache>
                <c:ptCount val="1"/>
                <c:pt idx="0">
                  <c:v>s EU 13</c:v>
                </c:pt>
              </c:strCache>
            </c:strRef>
          </c:tx>
          <c:marker>
            <c:symbol val="triangle"/>
            <c:size val="7"/>
            <c:spPr>
              <a:solidFill>
                <a:srgbClr val="000000"/>
              </a:solidFill>
            </c:spPr>
          </c:marker>
          <c:cat>
            <c:strRef>
              <c:f>'Sheet1'!$A$7:$A$28</c:f>
              <c:strCache>
                <c:ptCount val="22"/>
                <c:pt idx="0">
                  <c:v>1/2018</c:v>
                </c:pt>
                <c:pt idx="1">
                  <c:v>2/2018</c:v>
                </c:pt>
                <c:pt idx="2">
                  <c:v>3/2018</c:v>
                </c:pt>
                <c:pt idx="3">
                  <c:v>4/2018</c:v>
                </c:pt>
                <c:pt idx="4">
                  <c:v>1/2019</c:v>
                </c:pt>
                <c:pt idx="5">
                  <c:v>2/2019</c:v>
                </c:pt>
                <c:pt idx="6">
                  <c:v>3/2019</c:v>
                </c:pt>
                <c:pt idx="7">
                  <c:v>4/2019</c:v>
                </c:pt>
                <c:pt idx="8">
                  <c:v>1/2020</c:v>
                </c:pt>
                <c:pt idx="9">
                  <c:v>2/2020</c:v>
                </c:pt>
                <c:pt idx="10">
                  <c:v>3/2020</c:v>
                </c:pt>
                <c:pt idx="11">
                  <c:v>4/2020</c:v>
                </c:pt>
                <c:pt idx="12">
                  <c:v>1/2021</c:v>
                </c:pt>
                <c:pt idx="13">
                  <c:v>2/2021</c:v>
                </c:pt>
                <c:pt idx="14">
                  <c:v>3/2021</c:v>
                </c:pt>
                <c:pt idx="15">
                  <c:v>4/2021</c:v>
                </c:pt>
                <c:pt idx="16">
                  <c:v>1/2022</c:v>
                </c:pt>
                <c:pt idx="17">
                  <c:v>2/2022</c:v>
                </c:pt>
                <c:pt idx="18">
                  <c:v>3/2022</c:v>
                </c:pt>
                <c:pt idx="19">
                  <c:v>4/2022</c:v>
                </c:pt>
                <c:pt idx="20">
                  <c:v>1/2023</c:v>
                </c:pt>
                <c:pt idx="21">
                  <c:v>2/2023</c:v>
                </c:pt>
              </c:strCache>
            </c:strRef>
          </c:cat>
          <c:val>
            <c:numRef>
              <c:f>'Sheet1'!$P$7:$P$28</c:f>
              <c:numCache>
                <c:formatCode>#\ ##0.0</c:formatCode>
                <c:ptCount val="22"/>
                <c:pt idx="0">
                  <c:v>3.6382619999999899</c:v>
                </c:pt>
                <c:pt idx="1">
                  <c:v>3.4694759999999998</c:v>
                </c:pt>
                <c:pt idx="2">
                  <c:v>1.327985</c:v>
                </c:pt>
                <c:pt idx="3">
                  <c:v>2.0678839999999998</c:v>
                </c:pt>
                <c:pt idx="4">
                  <c:v>2.37095100000001</c:v>
                </c:pt>
                <c:pt idx="5">
                  <c:v>3.3570060000000002</c:v>
                </c:pt>
                <c:pt idx="6">
                  <c:v>0.95828099999999605</c:v>
                </c:pt>
                <c:pt idx="7">
                  <c:v>2.0297269999999998</c:v>
                </c:pt>
                <c:pt idx="8">
                  <c:v>3.8094950000000001</c:v>
                </c:pt>
                <c:pt idx="9">
                  <c:v>3.2874859999999901</c:v>
                </c:pt>
                <c:pt idx="10">
                  <c:v>2.1064250000000002</c:v>
                </c:pt>
                <c:pt idx="11">
                  <c:v>3.4759820000000001</c:v>
                </c:pt>
                <c:pt idx="12">
                  <c:v>4.4386729999999996</c:v>
                </c:pt>
                <c:pt idx="13">
                  <c:v>3.6067629999999999</c:v>
                </c:pt>
                <c:pt idx="14">
                  <c:v>1.567042</c:v>
                </c:pt>
                <c:pt idx="15">
                  <c:v>1.797245</c:v>
                </c:pt>
                <c:pt idx="16">
                  <c:v>4.0068289999999998</c:v>
                </c:pt>
                <c:pt idx="17">
                  <c:v>2.9013930000000099</c:v>
                </c:pt>
                <c:pt idx="18">
                  <c:v>3.349917</c:v>
                </c:pt>
                <c:pt idx="19">
                  <c:v>3.8334269999999901</c:v>
                </c:pt>
                <c:pt idx="20">
                  <c:v>3.06561499999999</c:v>
                </c:pt>
                <c:pt idx="21">
                  <c:v>4.3516430000000001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F1A-4014-858F-AE98EE3C1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09312"/>
        <c:axId val="96110848"/>
      </c:lineChart>
      <c:catAx>
        <c:axId val="9610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cs-CZ"/>
          </a:p>
        </c:txPr>
        <c:crossAx val="96110848"/>
        <c:crosses val="autoZero"/>
        <c:auto val="1"/>
        <c:lblAlgn val="ctr"/>
        <c:lblOffset val="100"/>
        <c:tickLblSkip val="1"/>
        <c:noMultiLvlLbl val="0"/>
      </c:catAx>
      <c:valAx>
        <c:axId val="9611084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1"/>
              </a:gradFill>
              <a:round/>
            </a:ln>
          </c:spPr>
        </c:majorGridlines>
        <c:numFmt formatCode="#,##0" sourceLinked="0"/>
        <c:majorTickMark val="out"/>
        <c:minorTickMark val="none"/>
        <c:tickLblPos val="nextTo"/>
        <c:crossAx val="96109312"/>
        <c:crosses val="autoZero"/>
        <c:crossBetween val="between"/>
      </c:valAx>
      <c:spPr>
        <a:ln w="12700">
          <a:noFill/>
          <a:round/>
        </a:ln>
      </c:spPr>
    </c:plotArea>
    <c:legend>
      <c:legendPos val="r"/>
      <c:layout>
        <c:manualLayout>
          <c:xMode val="edge"/>
          <c:yMode val="edge"/>
          <c:x val="0.10437100870920306"/>
          <c:y val="2.15525038262038E-2"/>
          <c:w val="0.80911915103422249"/>
          <c:h val="8.5891176531694091E-2"/>
        </c:manualLayout>
      </c:layout>
      <c:overlay val="0"/>
    </c:legend>
    <c:plotVisOnly val="1"/>
    <c:dispBlanksAs val="gap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69C5-5481-4755-AE31-9F9CC7D0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2448</Words>
  <Characters>14450</Characters>
  <Application>Microsoft Office Word</Application>
  <DocSecurity>0</DocSecurity>
  <Lines>120</Lines>
  <Paragraphs>33</Paragraphs>
  <ScaleCrop>false</ScaleCrop>
  <Company>T-Soft a.s.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2023-08-09T13:25:00Z</cp:lastPrinted>
  <dcterms:created xsi:type="dcterms:W3CDTF">2023-08-16T08:55:00Z</dcterms:created>
  <dcterms:modified xsi:type="dcterms:W3CDTF">2023-08-16T08:55:00Z</dcterms:modified>
</cp:coreProperties>
</file>