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86A3" w14:textId="640F47B2" w:rsidR="000524F4" w:rsidRDefault="005D3A6A" w:rsidP="005D3A6A">
      <w:pPr>
        <w:jc w:val="center"/>
        <w:rPr>
          <w:b/>
          <w:sz w:val="28"/>
          <w:szCs w:val="28"/>
        </w:rPr>
      </w:pPr>
      <w:r w:rsidRPr="00EE58B2">
        <w:rPr>
          <w:b/>
          <w:sz w:val="28"/>
          <w:szCs w:val="28"/>
        </w:rPr>
        <w:t>ČESTNÉ PROHLÁŠENÍ</w:t>
      </w:r>
      <w:r w:rsidR="00EE58B2">
        <w:rPr>
          <w:b/>
          <w:sz w:val="28"/>
          <w:szCs w:val="28"/>
        </w:rPr>
        <w:t xml:space="preserve"> ÚČASTNÍKA VÝBĚROVÉHO ŘÍZENÍ</w:t>
      </w:r>
      <w:r w:rsidRPr="00EE58B2">
        <w:rPr>
          <w:b/>
          <w:sz w:val="28"/>
          <w:szCs w:val="28"/>
        </w:rPr>
        <w:t xml:space="preserve"> </w:t>
      </w:r>
    </w:p>
    <w:p w14:paraId="624AAC8E" w14:textId="77777777" w:rsidR="00EE58B2" w:rsidRPr="00EE58B2" w:rsidRDefault="00EE58B2" w:rsidP="005D3A6A">
      <w:pPr>
        <w:jc w:val="center"/>
        <w:rPr>
          <w:b/>
          <w:sz w:val="28"/>
          <w:szCs w:val="28"/>
        </w:rPr>
      </w:pPr>
    </w:p>
    <w:p w14:paraId="55932C81" w14:textId="77777777" w:rsidR="00EE58B2" w:rsidRPr="00EE58B2" w:rsidRDefault="00EE58B2" w:rsidP="00EE58B2">
      <w:pPr>
        <w:rPr>
          <w:bCs/>
          <w:sz w:val="18"/>
          <w:szCs w:val="18"/>
        </w:rPr>
      </w:pPr>
      <w:bookmarkStart w:id="0" w:name="_Hlk145502457"/>
      <w:r w:rsidRPr="00EE58B2">
        <w:rPr>
          <w:bCs/>
          <w:sz w:val="18"/>
          <w:szCs w:val="18"/>
        </w:rPr>
        <w:t>do výběrového řízení mimo režim zákona č. 137/2006 Sb., o veřejných zakázkách. Výběrové řízení je prováděno v souladu s Příručkou pro zadávání zakázek na projekty rozvoje venkova (dále „PRV</w:t>
      </w:r>
      <w:proofErr w:type="gramStart"/>
      <w:r w:rsidRPr="00EE58B2">
        <w:rPr>
          <w:bCs/>
          <w:sz w:val="18"/>
          <w:szCs w:val="18"/>
        </w:rPr>
        <w:t>“ )</w:t>
      </w:r>
      <w:proofErr w:type="gramEnd"/>
      <w:r w:rsidRPr="00EE58B2">
        <w:rPr>
          <w:bCs/>
          <w:sz w:val="18"/>
          <w:szCs w:val="18"/>
        </w:rPr>
        <w:t xml:space="preserve"> v rámci Strategického plánu SZP na období 2023-2027 </w:t>
      </w:r>
      <w:proofErr w:type="gramStart"/>
      <w:r w:rsidRPr="00EE58B2">
        <w:rPr>
          <w:bCs/>
          <w:sz w:val="18"/>
          <w:szCs w:val="18"/>
        </w:rPr>
        <w:t>( dále</w:t>
      </w:r>
      <w:proofErr w:type="gramEnd"/>
      <w:r w:rsidRPr="00EE58B2">
        <w:rPr>
          <w:bCs/>
          <w:sz w:val="18"/>
          <w:szCs w:val="18"/>
        </w:rPr>
        <w:t xml:space="preserve"> „Příručka“).</w:t>
      </w:r>
    </w:p>
    <w:bookmarkEnd w:id="0"/>
    <w:p w14:paraId="6328387D" w14:textId="3FDB27D0" w:rsidR="005D3A6A" w:rsidRDefault="005D3A6A" w:rsidP="005D3A6A">
      <w:pPr>
        <w:jc w:val="center"/>
        <w:rPr>
          <w:b/>
        </w:rPr>
      </w:pPr>
    </w:p>
    <w:p w14:paraId="204146FC" w14:textId="77777777" w:rsidR="00EE58B2" w:rsidRDefault="00EE58B2" w:rsidP="005D3A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0524F4" w:rsidRPr="00FB09D1" w14:paraId="2B0CCEB6" w14:textId="77777777" w:rsidTr="000524F4">
        <w:tc>
          <w:tcPr>
            <w:tcW w:w="2263" w:type="dxa"/>
            <w:shd w:val="clear" w:color="auto" w:fill="FFFFFF" w:themeFill="background1"/>
          </w:tcPr>
          <w:p w14:paraId="7B3EA62F" w14:textId="4D68FD2F" w:rsidR="000524F4" w:rsidRPr="00F4564B" w:rsidRDefault="000524F4" w:rsidP="00EB096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4564B">
              <w:rPr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6942" w:type="dxa"/>
          </w:tcPr>
          <w:p w14:paraId="59A1B0E9" w14:textId="63C826BE" w:rsidR="000524F4" w:rsidRPr="00F4564B" w:rsidRDefault="008C7E89" w:rsidP="006A185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AGRO Bystřice a.s.</w:t>
            </w:r>
          </w:p>
        </w:tc>
      </w:tr>
      <w:tr w:rsidR="000524F4" w:rsidRPr="00BB68C5" w14:paraId="2EF748FE" w14:textId="77777777" w:rsidTr="000524F4">
        <w:tc>
          <w:tcPr>
            <w:tcW w:w="2263" w:type="dxa"/>
            <w:shd w:val="clear" w:color="auto" w:fill="FFFFFF" w:themeFill="background1"/>
          </w:tcPr>
          <w:p w14:paraId="2562DD75" w14:textId="2C68BCB4" w:rsidR="000524F4" w:rsidRPr="0029641E" w:rsidRDefault="000524F4" w:rsidP="00EB096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9641E">
              <w:rPr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6942" w:type="dxa"/>
          </w:tcPr>
          <w:p w14:paraId="5CD693F7" w14:textId="1095F7D8" w:rsidR="000524F4" w:rsidRPr="0029641E" w:rsidRDefault="00EE58B2" w:rsidP="00EB096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KEJDOVAČ PRO PRECIZNÍ ZEMĚDĚLSTVÍ (PRV02675)</w:t>
            </w:r>
          </w:p>
        </w:tc>
      </w:tr>
    </w:tbl>
    <w:p w14:paraId="190C11BF" w14:textId="77777777" w:rsidR="00F33BD3" w:rsidRDefault="00F33BD3" w:rsidP="00C970D4">
      <w:pPr>
        <w:jc w:val="center"/>
        <w:rPr>
          <w:b/>
        </w:rPr>
      </w:pPr>
    </w:p>
    <w:p w14:paraId="332EAE3F" w14:textId="77777777" w:rsidR="00EE58B2" w:rsidRPr="000524F4" w:rsidRDefault="00EE58B2" w:rsidP="00C970D4">
      <w:pPr>
        <w:jc w:val="center"/>
        <w:rPr>
          <w:b/>
        </w:rPr>
      </w:pPr>
    </w:p>
    <w:p w14:paraId="577C6561" w14:textId="77777777" w:rsidR="000524F4" w:rsidRDefault="005D3A6A" w:rsidP="005D3A6A">
      <w:pPr>
        <w:jc w:val="both"/>
        <w:rPr>
          <w:bCs/>
          <w:iCs/>
          <w:sz w:val="22"/>
          <w:szCs w:val="22"/>
        </w:rPr>
      </w:pPr>
      <w:r w:rsidRPr="000524F4">
        <w:rPr>
          <w:iCs/>
          <w:sz w:val="22"/>
          <w:szCs w:val="22"/>
        </w:rPr>
        <w:t xml:space="preserve">Dodavatel – společnost </w:t>
      </w:r>
      <w:r w:rsidRPr="000524F4">
        <w:rPr>
          <w:bCs/>
          <w:iCs/>
          <w:sz w:val="22"/>
          <w:szCs w:val="22"/>
          <w:highlight w:val="yellow"/>
        </w:rPr>
        <w:t>[</w:t>
      </w:r>
      <w:r w:rsidRPr="000524F4">
        <w:rPr>
          <w:bCs/>
          <w:i/>
          <w:iCs/>
          <w:sz w:val="22"/>
          <w:szCs w:val="22"/>
          <w:highlight w:val="yellow"/>
        </w:rPr>
        <w:t>doplnit firmu, sídlo a identifikační číslo</w:t>
      </w:r>
      <w:r w:rsidRPr="000524F4">
        <w:rPr>
          <w:bCs/>
          <w:iCs/>
          <w:sz w:val="22"/>
          <w:szCs w:val="22"/>
          <w:highlight w:val="yellow"/>
        </w:rPr>
        <w:t>]</w:t>
      </w:r>
      <w:r w:rsidRPr="000524F4">
        <w:rPr>
          <w:bCs/>
          <w:iCs/>
          <w:sz w:val="22"/>
          <w:szCs w:val="22"/>
        </w:rPr>
        <w:t xml:space="preserve">, </w:t>
      </w:r>
    </w:p>
    <w:p w14:paraId="375D6822" w14:textId="77777777" w:rsidR="00EE58B2" w:rsidRPr="000524F4" w:rsidRDefault="00EE58B2" w:rsidP="005D3A6A">
      <w:pPr>
        <w:jc w:val="both"/>
        <w:rPr>
          <w:bCs/>
          <w:iCs/>
          <w:sz w:val="22"/>
          <w:szCs w:val="22"/>
        </w:rPr>
      </w:pPr>
    </w:p>
    <w:p w14:paraId="69413A4B" w14:textId="77777777" w:rsidR="000524F4" w:rsidRDefault="005D3A6A" w:rsidP="005D3A6A">
      <w:pPr>
        <w:jc w:val="both"/>
        <w:rPr>
          <w:bCs/>
          <w:iCs/>
          <w:sz w:val="22"/>
          <w:szCs w:val="22"/>
        </w:rPr>
      </w:pPr>
      <w:r w:rsidRPr="000524F4">
        <w:rPr>
          <w:iCs/>
          <w:sz w:val="22"/>
          <w:szCs w:val="22"/>
        </w:rPr>
        <w:t xml:space="preserve">jednající prostřednictvím </w:t>
      </w:r>
      <w:r w:rsidRPr="000524F4">
        <w:rPr>
          <w:bCs/>
          <w:iCs/>
          <w:sz w:val="22"/>
          <w:szCs w:val="22"/>
          <w:highlight w:val="yellow"/>
        </w:rPr>
        <w:t>[</w:t>
      </w:r>
      <w:r w:rsidRPr="000524F4">
        <w:rPr>
          <w:bCs/>
          <w:i/>
          <w:iCs/>
          <w:sz w:val="22"/>
          <w:szCs w:val="22"/>
          <w:highlight w:val="yellow"/>
        </w:rPr>
        <w:t>doplnit jméno osoby a její funkci</w:t>
      </w:r>
      <w:r w:rsidRPr="000524F4">
        <w:rPr>
          <w:bCs/>
          <w:iCs/>
          <w:sz w:val="22"/>
          <w:szCs w:val="22"/>
          <w:highlight w:val="yellow"/>
        </w:rPr>
        <w:t>]</w:t>
      </w:r>
      <w:r w:rsidRPr="000524F4">
        <w:rPr>
          <w:bCs/>
          <w:iCs/>
          <w:sz w:val="22"/>
          <w:szCs w:val="22"/>
        </w:rPr>
        <w:t xml:space="preserve"> </w:t>
      </w:r>
    </w:p>
    <w:p w14:paraId="20A69B58" w14:textId="77777777" w:rsidR="00EE58B2" w:rsidRPr="000524F4" w:rsidRDefault="00EE58B2" w:rsidP="005D3A6A">
      <w:pPr>
        <w:jc w:val="both"/>
        <w:rPr>
          <w:bCs/>
          <w:iCs/>
          <w:sz w:val="22"/>
          <w:szCs w:val="22"/>
        </w:rPr>
      </w:pPr>
    </w:p>
    <w:p w14:paraId="1D33C9C3" w14:textId="32A2543D" w:rsidR="000524F4" w:rsidRDefault="005D3A6A" w:rsidP="00EE58B2">
      <w:pPr>
        <w:jc w:val="center"/>
        <w:rPr>
          <w:bCs/>
          <w:iCs/>
          <w:sz w:val="22"/>
          <w:szCs w:val="22"/>
        </w:rPr>
      </w:pPr>
      <w:r w:rsidRPr="000524F4">
        <w:rPr>
          <w:bCs/>
          <w:iCs/>
          <w:sz w:val="22"/>
          <w:szCs w:val="22"/>
        </w:rPr>
        <w:t>(dále jen „dodavatel),</w:t>
      </w:r>
    </w:p>
    <w:p w14:paraId="78AC8CDF" w14:textId="77777777" w:rsidR="00EE58B2" w:rsidRPr="000524F4" w:rsidRDefault="00EE58B2" w:rsidP="00EE58B2">
      <w:pPr>
        <w:jc w:val="center"/>
        <w:rPr>
          <w:bCs/>
          <w:iCs/>
          <w:sz w:val="22"/>
          <w:szCs w:val="22"/>
        </w:rPr>
      </w:pPr>
    </w:p>
    <w:p w14:paraId="42D32535" w14:textId="497E5A82" w:rsidR="000524F4" w:rsidRPr="00EE58B2" w:rsidRDefault="005D3A6A" w:rsidP="000524F4">
      <w:pPr>
        <w:jc w:val="center"/>
        <w:rPr>
          <w:b/>
          <w:bCs/>
          <w:iCs/>
        </w:rPr>
      </w:pPr>
      <w:r w:rsidRPr="00EE58B2">
        <w:rPr>
          <w:b/>
          <w:bCs/>
          <w:iCs/>
        </w:rPr>
        <w:t>tímto čestně prohlašuje,</w:t>
      </w:r>
      <w:r w:rsidR="00EE58B2" w:rsidRPr="00EE58B2">
        <w:rPr>
          <w:b/>
          <w:bCs/>
          <w:iCs/>
        </w:rPr>
        <w:t xml:space="preserve"> že</w:t>
      </w:r>
    </w:p>
    <w:p w14:paraId="74A4466B" w14:textId="77777777" w:rsidR="00EE58B2" w:rsidRPr="000524F4" w:rsidRDefault="00EE58B2" w:rsidP="000524F4">
      <w:pPr>
        <w:jc w:val="center"/>
        <w:rPr>
          <w:b/>
          <w:bCs/>
          <w:iCs/>
          <w:sz w:val="22"/>
          <w:szCs w:val="22"/>
        </w:rPr>
      </w:pPr>
    </w:p>
    <w:p w14:paraId="1E2D3D44" w14:textId="77777777" w:rsidR="00EE58B2" w:rsidRPr="00902BE2" w:rsidRDefault="00EE58B2" w:rsidP="00EE58B2">
      <w:pPr>
        <w:numPr>
          <w:ilvl w:val="0"/>
          <w:numId w:val="5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1"/>
      </w:r>
      <w:r w:rsidRPr="00902BE2">
        <w:rPr>
          <w:rFonts w:eastAsia="Calibri" w:cstheme="minorHAnsi"/>
          <w:szCs w:val="20"/>
        </w:rPr>
        <w:t>;</w:t>
      </w:r>
    </w:p>
    <w:p w14:paraId="48942A7A" w14:textId="77777777" w:rsidR="00EE58B2" w:rsidRPr="00902BE2" w:rsidRDefault="00EE58B2" w:rsidP="00EE58B2">
      <w:p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</w:p>
    <w:p w14:paraId="772E5CD0" w14:textId="77777777" w:rsidR="00EE58B2" w:rsidRPr="00902BE2" w:rsidRDefault="00EE58B2" w:rsidP="00EE58B2">
      <w:pPr>
        <w:numPr>
          <w:ilvl w:val="0"/>
          <w:numId w:val="5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poddodavatel, prostřednictvím kterého dodavatel prokazuje kvalifikaci (existuje-li takový),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2"/>
      </w:r>
      <w:r w:rsidRPr="00902BE2">
        <w:rPr>
          <w:rFonts w:eastAsia="Calibri" w:cstheme="minorHAnsi"/>
          <w:szCs w:val="20"/>
        </w:rPr>
        <w:t>;</w:t>
      </w:r>
    </w:p>
    <w:p w14:paraId="48AB973D" w14:textId="77777777" w:rsidR="00EE58B2" w:rsidRPr="00902BE2" w:rsidRDefault="00EE58B2" w:rsidP="00EE58B2">
      <w:pPr>
        <w:spacing w:after="160" w:line="240" w:lineRule="exact"/>
        <w:ind w:left="720"/>
        <w:contextualSpacing/>
        <w:rPr>
          <w:rFonts w:eastAsia="Calibri" w:cstheme="minorHAnsi"/>
          <w:szCs w:val="20"/>
        </w:rPr>
      </w:pPr>
    </w:p>
    <w:p w14:paraId="79D5ECC7" w14:textId="77777777" w:rsidR="00EE58B2" w:rsidRPr="00902BE2" w:rsidRDefault="00EE58B2" w:rsidP="00EE58B2">
      <w:pPr>
        <w:numPr>
          <w:ilvl w:val="0"/>
          <w:numId w:val="5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odpovídá za to, že on sám ani žádný z jeho poddodavatelů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1EE98488" w14:textId="77777777" w:rsidR="00EE58B2" w:rsidRPr="00902BE2" w:rsidRDefault="00EE58B2" w:rsidP="00EE58B2">
      <w:pPr>
        <w:spacing w:after="160" w:line="240" w:lineRule="exact"/>
        <w:ind w:left="426"/>
        <w:contextualSpacing/>
        <w:rPr>
          <w:rFonts w:eastAsia="Calibri" w:cstheme="minorHAnsi"/>
          <w:szCs w:val="20"/>
        </w:rPr>
      </w:pPr>
    </w:p>
    <w:p w14:paraId="7F8E2128" w14:textId="77777777" w:rsidR="00EE58B2" w:rsidRPr="00902BE2" w:rsidRDefault="00EE58B2" w:rsidP="00EE58B2">
      <w:pPr>
        <w:numPr>
          <w:ilvl w:val="0"/>
          <w:numId w:val="5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žádné finanční prostředky, které obdrží za plnění veřejné zakázky, přímo ani nepřímo </w:t>
      </w:r>
      <w:r w:rsidRPr="00902BE2">
        <w:rPr>
          <w:rFonts w:eastAsia="Calibri" w:cstheme="minorHAnsi"/>
          <w:b/>
          <w:szCs w:val="20"/>
        </w:rPr>
        <w:t>nezpřístupní</w:t>
      </w:r>
      <w:r w:rsidRPr="00902BE2">
        <w:rPr>
          <w:rFonts w:eastAsia="Calibri" w:cstheme="minorHAnsi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</w:t>
      </w:r>
      <w:r w:rsidRPr="00902BE2">
        <w:rPr>
          <w:rFonts w:eastAsia="Calibri" w:cstheme="minorHAnsi"/>
          <w:szCs w:val="20"/>
        </w:rPr>
        <w:lastRenderedPageBreak/>
        <w:t>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0A9AEDE0" w14:textId="77777777" w:rsidR="00EE58B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17B27D01" w14:textId="77777777" w:rsidR="00EE58B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7E40855A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74A4650A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V ......................................dne ……………………                      ____________________________</w:t>
      </w:r>
    </w:p>
    <w:p w14:paraId="61C53973" w14:textId="77777777" w:rsidR="00EE58B2" w:rsidRDefault="00EE58B2" w:rsidP="00EE58B2">
      <w:pPr>
        <w:spacing w:after="200" w:line="276" w:lineRule="auto"/>
        <w:rPr>
          <w:rFonts w:eastAsia="Calibri" w:cstheme="minorHAnsi"/>
          <w:b/>
          <w:bCs/>
          <w:color w:val="000000"/>
          <w:szCs w:val="20"/>
        </w:rPr>
      </w:pPr>
    </w:p>
    <w:p w14:paraId="5F2CAC71" w14:textId="77777777" w:rsidR="00EE58B2" w:rsidRDefault="00EE58B2" w:rsidP="00EE58B2">
      <w:pPr>
        <w:spacing w:after="200" w:line="276" w:lineRule="auto"/>
        <w:rPr>
          <w:rFonts w:eastAsia="Calibri" w:cstheme="minorHAnsi"/>
          <w:b/>
          <w:bCs/>
          <w:color w:val="000000"/>
          <w:szCs w:val="20"/>
        </w:rPr>
      </w:pPr>
    </w:p>
    <w:p w14:paraId="6C7A3112" w14:textId="2255CFC6" w:rsidR="00EE58B2" w:rsidRDefault="00465252" w:rsidP="00EE58B2">
      <w:pPr>
        <w:spacing w:after="200" w:line="276" w:lineRule="auto"/>
        <w:rPr>
          <w:rFonts w:eastAsia="Calibri" w:cstheme="minorHAnsi"/>
          <w:b/>
          <w:bCs/>
          <w:color w:val="000000"/>
          <w:szCs w:val="20"/>
        </w:rPr>
      </w:pP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</w:r>
      <w:r>
        <w:rPr>
          <w:rFonts w:eastAsia="Calibri" w:cstheme="minorHAnsi"/>
          <w:b/>
          <w:bCs/>
          <w:color w:val="000000"/>
          <w:szCs w:val="20"/>
        </w:rPr>
        <w:tab/>
        <w:t xml:space="preserve">       </w:t>
      </w:r>
      <w:r w:rsidRPr="00902BE2">
        <w:rPr>
          <w:rFonts w:eastAsia="Calibri" w:cstheme="minorHAnsi"/>
          <w:szCs w:val="20"/>
        </w:rPr>
        <w:t>____________________________</w:t>
      </w:r>
    </w:p>
    <w:p w14:paraId="34BCD554" w14:textId="77777777" w:rsidR="00EE58B2" w:rsidRPr="00902BE2" w:rsidRDefault="00EE58B2" w:rsidP="00EE58B2">
      <w:pPr>
        <w:spacing w:after="200" w:line="276" w:lineRule="auto"/>
        <w:rPr>
          <w:rFonts w:eastAsia="Calibri" w:cstheme="minorHAnsi"/>
          <w:b/>
          <w:bCs/>
          <w:color w:val="000000"/>
          <w:szCs w:val="20"/>
        </w:rPr>
      </w:pPr>
    </w:p>
    <w:p w14:paraId="6639E4B0" w14:textId="77777777" w:rsidR="00EE58B2" w:rsidRPr="00902BE2" w:rsidRDefault="00EE58B2" w:rsidP="00EE58B2">
      <w:pPr>
        <w:spacing w:after="200" w:line="276" w:lineRule="auto"/>
        <w:rPr>
          <w:rFonts w:eastAsia="Calibri" w:cstheme="minorHAnsi"/>
          <w:b/>
          <w:bCs/>
          <w:color w:val="000000"/>
          <w:szCs w:val="20"/>
        </w:rPr>
      </w:pPr>
    </w:p>
    <w:p w14:paraId="56073410" w14:textId="77777777" w:rsidR="00EE58B2" w:rsidRPr="00902BE2" w:rsidRDefault="00EE58B2" w:rsidP="00EE58B2">
      <w:pPr>
        <w:spacing w:after="200" w:line="276" w:lineRule="auto"/>
        <w:rPr>
          <w:rFonts w:eastAsia="Calibri" w:cstheme="minorHAnsi"/>
          <w:bCs/>
          <w:color w:val="000000"/>
          <w:szCs w:val="20"/>
        </w:rPr>
      </w:pPr>
      <w:r w:rsidRPr="00902BE2">
        <w:rPr>
          <w:rFonts w:eastAsia="Calibri" w:cstheme="minorHAnsi"/>
          <w:b/>
          <w:bCs/>
          <w:color w:val="000000"/>
          <w:szCs w:val="20"/>
        </w:rPr>
        <w:t>Poznámka pro zadavatele zakázky:</w:t>
      </w:r>
    </w:p>
    <w:p w14:paraId="6D653AE0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Sankce EU proti Rusku a Bělorusku možno ověřit na:</w:t>
      </w:r>
    </w:p>
    <w:p w14:paraId="5F90A73F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8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https://www.sanctionsmap.eu/</w:t>
        </w:r>
      </w:hyperlink>
    </w:p>
    <w:p w14:paraId="4B6D101A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9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https://www.amlsolutions.cz/overovani-mezinarodnich-sankci</w:t>
        </w:r>
      </w:hyperlink>
    </w:p>
    <w:p w14:paraId="320F84B8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  <w:hyperlink r:id="rId10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https://sankce.datlab.eu/</w:t>
        </w:r>
      </w:hyperlink>
    </w:p>
    <w:p w14:paraId="1863676E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38839F9C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§ 4b) zákona o střetu zájmů – seznam veřejných funkcionářů z § 2 (1c) ke stažení v .XLSX</w:t>
      </w:r>
    </w:p>
    <w:p w14:paraId="2C8EE370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1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https://justice.cz/web/msp/seznam-vf</w:t>
        </w:r>
      </w:hyperlink>
    </w:p>
    <w:p w14:paraId="00B80945" w14:textId="77777777" w:rsidR="00EE58B2" w:rsidRPr="004E2EA0" w:rsidRDefault="00EE58B2" w:rsidP="00EE58B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4E2EA0">
        <w:rPr>
          <w:rFonts w:eastAsia="Calibri" w:cstheme="minorHAnsi"/>
          <w:szCs w:val="20"/>
        </w:rPr>
        <w:t>U vybraného dodavatele je možnost ověřit neexistenci střetu zájmů v evidenci skutečných majitelů dostupné na:</w:t>
      </w:r>
    </w:p>
    <w:p w14:paraId="2F485DC8" w14:textId="77777777" w:rsidR="00EE58B2" w:rsidRPr="00902BE2" w:rsidRDefault="00EE58B2" w:rsidP="00EE58B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2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https://esm.justice.cz</w:t>
        </w:r>
      </w:hyperlink>
      <w:r w:rsidRPr="00902BE2">
        <w:rPr>
          <w:rFonts w:eastAsia="Calibri" w:cstheme="minorHAnsi"/>
          <w:color w:val="0070C0"/>
          <w:szCs w:val="20"/>
          <w:u w:val="single"/>
        </w:rPr>
        <w:t xml:space="preserve"> </w:t>
      </w:r>
    </w:p>
    <w:p w14:paraId="1DA7C83B" w14:textId="77777777" w:rsidR="00EE58B2" w:rsidRPr="000524F4" w:rsidRDefault="00EE58B2" w:rsidP="00EE58B2">
      <w:pPr>
        <w:jc w:val="both"/>
        <w:rPr>
          <w:sz w:val="22"/>
          <w:szCs w:val="22"/>
          <w:highlight w:val="yellow"/>
        </w:rPr>
      </w:pPr>
    </w:p>
    <w:p w14:paraId="6995397E" w14:textId="622BE1BC" w:rsidR="00C86FAD" w:rsidRPr="00C86FAD" w:rsidRDefault="00C86FAD" w:rsidP="00C86FAD">
      <w:pPr>
        <w:jc w:val="both"/>
      </w:pPr>
      <w:r>
        <w:t xml:space="preserve"> </w:t>
      </w:r>
    </w:p>
    <w:sectPr w:rsidR="00C86FAD" w:rsidRPr="00C86FAD" w:rsidSect="0046525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276" w:bottom="993" w:left="1135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D118" w14:textId="77777777" w:rsidR="00AC40C9" w:rsidRDefault="00AC40C9">
      <w:r>
        <w:separator/>
      </w:r>
    </w:p>
  </w:endnote>
  <w:endnote w:type="continuationSeparator" w:id="0">
    <w:p w14:paraId="159257D5" w14:textId="77777777" w:rsidR="00AC40C9" w:rsidRDefault="00AC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CE0" w14:textId="2E1EBF0B" w:rsidR="00A73DF6" w:rsidRPr="00465252" w:rsidRDefault="00465252">
    <w:pPr>
      <w:pStyle w:val="Zpat"/>
      <w:rPr>
        <w:b/>
        <w:i/>
        <w:iCs/>
        <w:smallCaps/>
        <w:sz w:val="20"/>
        <w:szCs w:val="20"/>
      </w:rPr>
    </w:pPr>
    <w:r>
      <w:rPr>
        <w:i/>
        <w:iCs/>
        <w:sz w:val="20"/>
        <w:szCs w:val="20"/>
      </w:rPr>
      <w:t xml:space="preserve">Příloha č. 2 - </w:t>
    </w:r>
    <w:r w:rsidR="00EE58B2" w:rsidRPr="00465252">
      <w:rPr>
        <w:i/>
        <w:iCs/>
        <w:sz w:val="20"/>
        <w:szCs w:val="20"/>
      </w:rPr>
      <w:t>Čestné prohlášení účastníka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B426" w14:textId="6B397DDB" w:rsidR="00E64C9C" w:rsidRPr="00E64C9C" w:rsidRDefault="00EE58B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Čestné prohlášení účastníka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8D2A" w14:textId="77777777" w:rsidR="00AC40C9" w:rsidRDefault="00AC40C9">
      <w:r>
        <w:separator/>
      </w:r>
    </w:p>
  </w:footnote>
  <w:footnote w:type="continuationSeparator" w:id="0">
    <w:p w14:paraId="1AA0E550" w14:textId="77777777" w:rsidR="00AC40C9" w:rsidRDefault="00AC40C9">
      <w:r>
        <w:continuationSeparator/>
      </w:r>
    </w:p>
  </w:footnote>
  <w:footnote w:id="1">
    <w:p w14:paraId="0642809A" w14:textId="77777777" w:rsidR="00EE58B2" w:rsidRPr="00D025C9" w:rsidRDefault="00EE58B2" w:rsidP="00EE58B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404C42BD" w14:textId="77777777" w:rsidR="00EE58B2" w:rsidRDefault="00EE58B2" w:rsidP="00EE58B2">
      <w:pPr>
        <w:pStyle w:val="Textpoznpodarou"/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87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9142"/>
    </w:tblGrid>
    <w:tr w:rsidR="00C41A1A" w14:paraId="73665B9B" w14:textId="77777777" w:rsidTr="001577E3">
      <w:trPr>
        <w:trHeight w:val="1051"/>
      </w:trPr>
      <w:tc>
        <w:tcPr>
          <w:tcW w:w="5145" w:type="dxa"/>
          <w:vAlign w:val="center"/>
        </w:tcPr>
        <w:p w14:paraId="035E6FDD" w14:textId="00798D0D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9142" w:type="dxa"/>
          <w:vAlign w:val="center"/>
        </w:tcPr>
        <w:p w14:paraId="58F613E7" w14:textId="5224E74A" w:rsidR="00C41A1A" w:rsidRDefault="00486796" w:rsidP="001577E3">
          <w:pPr>
            <w:pStyle w:val="Zhlav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B5ACE6A" wp14:editId="17CCD828">
                <wp:simplePos x="0" y="0"/>
                <wp:positionH relativeFrom="margin">
                  <wp:posOffset>1406525</wp:posOffset>
                </wp:positionH>
                <wp:positionV relativeFrom="paragraph">
                  <wp:posOffset>236220</wp:posOffset>
                </wp:positionV>
                <wp:extent cx="1611630" cy="360045"/>
                <wp:effectExtent l="0" t="0" r="7620" b="1905"/>
                <wp:wrapNone/>
                <wp:docPr id="521205973" name="Obrázek 521205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3D4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2F4E84F" wp14:editId="32098FFD">
                <wp:simplePos x="0" y="0"/>
                <wp:positionH relativeFrom="column">
                  <wp:posOffset>4086225</wp:posOffset>
                </wp:positionH>
                <wp:positionV relativeFrom="paragraph">
                  <wp:posOffset>147320</wp:posOffset>
                </wp:positionV>
                <wp:extent cx="1611630" cy="360045"/>
                <wp:effectExtent l="0" t="0" r="7620" b="1905"/>
                <wp:wrapNone/>
                <wp:docPr id="505215210" name="Obrázek 505215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D54F95" w14:textId="77777777" w:rsidR="007E329D" w:rsidRPr="00C41A1A" w:rsidRDefault="007E329D" w:rsidP="00C41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C41A1A" w14:paraId="0B01728E" w14:textId="77777777" w:rsidTr="006A26B0">
      <w:trPr>
        <w:trHeight w:val="1051"/>
      </w:trPr>
      <w:tc>
        <w:tcPr>
          <w:tcW w:w="5145" w:type="dxa"/>
          <w:vAlign w:val="center"/>
        </w:tcPr>
        <w:p w14:paraId="29CD2C8A" w14:textId="1821500E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</w:tcPr>
        <w:p w14:paraId="3F3262B4" w14:textId="5108F7C3" w:rsidR="00C41A1A" w:rsidRDefault="00C53D46" w:rsidP="00C41A1A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01B130" wp14:editId="0ECA824B">
                <wp:simplePos x="0" y="0"/>
                <wp:positionH relativeFrom="column">
                  <wp:posOffset>1171575</wp:posOffset>
                </wp:positionH>
                <wp:positionV relativeFrom="paragraph">
                  <wp:posOffset>273685</wp:posOffset>
                </wp:positionV>
                <wp:extent cx="1611630" cy="360045"/>
                <wp:effectExtent l="0" t="0" r="7620" b="1905"/>
                <wp:wrapNone/>
                <wp:docPr id="1078100419" name="Obrázek 1078100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9458EC" w14:textId="77777777" w:rsidR="00D52C97" w:rsidRPr="00C41A1A" w:rsidRDefault="00D52C97" w:rsidP="00C41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2F12"/>
    <w:multiLevelType w:val="hybridMultilevel"/>
    <w:tmpl w:val="1942521C"/>
    <w:lvl w:ilvl="0" w:tplc="04050017">
      <w:start w:val="1"/>
      <w:numFmt w:val="lowerLetter"/>
      <w:lvlText w:val="%1)"/>
      <w:lvlJc w:val="left"/>
      <w:pPr>
        <w:tabs>
          <w:tab w:val="num" w:pos="8115"/>
        </w:tabs>
        <w:ind w:left="811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2" w15:restartNumberingAfterBreak="0">
    <w:nsid w:val="42EA43C3"/>
    <w:multiLevelType w:val="hybridMultilevel"/>
    <w:tmpl w:val="6E2864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D1837"/>
    <w:multiLevelType w:val="hybridMultilevel"/>
    <w:tmpl w:val="3B883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B515B"/>
    <w:multiLevelType w:val="hybridMultilevel"/>
    <w:tmpl w:val="C16CCB82"/>
    <w:lvl w:ilvl="0" w:tplc="BDD6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6457">
    <w:abstractNumId w:val="1"/>
  </w:num>
  <w:num w:numId="2" w16cid:durableId="1144858671">
    <w:abstractNumId w:val="3"/>
  </w:num>
  <w:num w:numId="3" w16cid:durableId="1266039604">
    <w:abstractNumId w:val="2"/>
  </w:num>
  <w:num w:numId="4" w16cid:durableId="1119491412">
    <w:abstractNumId w:val="4"/>
  </w:num>
  <w:num w:numId="5" w16cid:durableId="2010717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BB"/>
    <w:rsid w:val="0001054D"/>
    <w:rsid w:val="00024E93"/>
    <w:rsid w:val="00031933"/>
    <w:rsid w:val="00037A14"/>
    <w:rsid w:val="00044D34"/>
    <w:rsid w:val="000501ED"/>
    <w:rsid w:val="000524F4"/>
    <w:rsid w:val="00087790"/>
    <w:rsid w:val="000C0FA3"/>
    <w:rsid w:val="000D0DA1"/>
    <w:rsid w:val="000E6D8D"/>
    <w:rsid w:val="00100671"/>
    <w:rsid w:val="00106B1C"/>
    <w:rsid w:val="00116E04"/>
    <w:rsid w:val="00153BF9"/>
    <w:rsid w:val="00154CDA"/>
    <w:rsid w:val="001577E3"/>
    <w:rsid w:val="00163C9F"/>
    <w:rsid w:val="001808A4"/>
    <w:rsid w:val="001957A6"/>
    <w:rsid w:val="001A0D76"/>
    <w:rsid w:val="001E1206"/>
    <w:rsid w:val="001F0925"/>
    <w:rsid w:val="001F134B"/>
    <w:rsid w:val="002045A0"/>
    <w:rsid w:val="00237C3A"/>
    <w:rsid w:val="0025208F"/>
    <w:rsid w:val="00256462"/>
    <w:rsid w:val="00276A49"/>
    <w:rsid w:val="00284EFA"/>
    <w:rsid w:val="0029641E"/>
    <w:rsid w:val="002A790B"/>
    <w:rsid w:val="002B7C7A"/>
    <w:rsid w:val="002C4BED"/>
    <w:rsid w:val="002D16AD"/>
    <w:rsid w:val="002D1E50"/>
    <w:rsid w:val="002E0D19"/>
    <w:rsid w:val="002F11C5"/>
    <w:rsid w:val="002F726A"/>
    <w:rsid w:val="00310927"/>
    <w:rsid w:val="00326C61"/>
    <w:rsid w:val="003372ED"/>
    <w:rsid w:val="003713E3"/>
    <w:rsid w:val="00372AE9"/>
    <w:rsid w:val="00372B81"/>
    <w:rsid w:val="0038415F"/>
    <w:rsid w:val="00395107"/>
    <w:rsid w:val="003A03BB"/>
    <w:rsid w:val="003B22DA"/>
    <w:rsid w:val="003B27B6"/>
    <w:rsid w:val="003B3110"/>
    <w:rsid w:val="003F0D81"/>
    <w:rsid w:val="00404DC7"/>
    <w:rsid w:val="00407528"/>
    <w:rsid w:val="00417D8A"/>
    <w:rsid w:val="00423261"/>
    <w:rsid w:val="00444745"/>
    <w:rsid w:val="00447CF1"/>
    <w:rsid w:val="0045223A"/>
    <w:rsid w:val="00452BCD"/>
    <w:rsid w:val="00465252"/>
    <w:rsid w:val="00486796"/>
    <w:rsid w:val="00497951"/>
    <w:rsid w:val="004C0072"/>
    <w:rsid w:val="004C4AB9"/>
    <w:rsid w:val="004F2581"/>
    <w:rsid w:val="005012AD"/>
    <w:rsid w:val="00504BE1"/>
    <w:rsid w:val="005201B8"/>
    <w:rsid w:val="00540DA8"/>
    <w:rsid w:val="005427B4"/>
    <w:rsid w:val="00546B61"/>
    <w:rsid w:val="00553A37"/>
    <w:rsid w:val="00561BE4"/>
    <w:rsid w:val="005819AD"/>
    <w:rsid w:val="00586CE9"/>
    <w:rsid w:val="005A55E1"/>
    <w:rsid w:val="005D28A9"/>
    <w:rsid w:val="005D3A6A"/>
    <w:rsid w:val="005E063A"/>
    <w:rsid w:val="005E29BF"/>
    <w:rsid w:val="0060521E"/>
    <w:rsid w:val="006116CD"/>
    <w:rsid w:val="00614582"/>
    <w:rsid w:val="00627D47"/>
    <w:rsid w:val="0064235A"/>
    <w:rsid w:val="00664E2F"/>
    <w:rsid w:val="0066590D"/>
    <w:rsid w:val="00666308"/>
    <w:rsid w:val="0068001F"/>
    <w:rsid w:val="006A185A"/>
    <w:rsid w:val="006A3E8A"/>
    <w:rsid w:val="006A75F8"/>
    <w:rsid w:val="006C37DC"/>
    <w:rsid w:val="00703FC0"/>
    <w:rsid w:val="00705C70"/>
    <w:rsid w:val="007221FD"/>
    <w:rsid w:val="007326E6"/>
    <w:rsid w:val="0073441B"/>
    <w:rsid w:val="007757E4"/>
    <w:rsid w:val="0078399F"/>
    <w:rsid w:val="007B0241"/>
    <w:rsid w:val="007B0BB2"/>
    <w:rsid w:val="007B36C6"/>
    <w:rsid w:val="007D1A51"/>
    <w:rsid w:val="007E0342"/>
    <w:rsid w:val="007E329D"/>
    <w:rsid w:val="007F1FB1"/>
    <w:rsid w:val="007F58A1"/>
    <w:rsid w:val="00806244"/>
    <w:rsid w:val="00815D4D"/>
    <w:rsid w:val="008206EE"/>
    <w:rsid w:val="00832B6E"/>
    <w:rsid w:val="00856EB3"/>
    <w:rsid w:val="008672B8"/>
    <w:rsid w:val="0087059D"/>
    <w:rsid w:val="00874F91"/>
    <w:rsid w:val="008824AD"/>
    <w:rsid w:val="00896229"/>
    <w:rsid w:val="008A5988"/>
    <w:rsid w:val="008B1E90"/>
    <w:rsid w:val="008B4CA9"/>
    <w:rsid w:val="008C7E89"/>
    <w:rsid w:val="008D7313"/>
    <w:rsid w:val="008E0CD9"/>
    <w:rsid w:val="008E4991"/>
    <w:rsid w:val="008F406E"/>
    <w:rsid w:val="0090537E"/>
    <w:rsid w:val="00912F27"/>
    <w:rsid w:val="00921040"/>
    <w:rsid w:val="0093264A"/>
    <w:rsid w:val="00937F51"/>
    <w:rsid w:val="00971AF4"/>
    <w:rsid w:val="009874D4"/>
    <w:rsid w:val="0099118F"/>
    <w:rsid w:val="009B3B6B"/>
    <w:rsid w:val="009B4411"/>
    <w:rsid w:val="009B77B1"/>
    <w:rsid w:val="009F55D7"/>
    <w:rsid w:val="00A30197"/>
    <w:rsid w:val="00A5365D"/>
    <w:rsid w:val="00A61271"/>
    <w:rsid w:val="00A626AB"/>
    <w:rsid w:val="00A73DF6"/>
    <w:rsid w:val="00A93384"/>
    <w:rsid w:val="00AC40C9"/>
    <w:rsid w:val="00AD6A2E"/>
    <w:rsid w:val="00AF731C"/>
    <w:rsid w:val="00AF76B4"/>
    <w:rsid w:val="00B2331C"/>
    <w:rsid w:val="00B35A77"/>
    <w:rsid w:val="00B71F83"/>
    <w:rsid w:val="00B80043"/>
    <w:rsid w:val="00B80E78"/>
    <w:rsid w:val="00B967CE"/>
    <w:rsid w:val="00BB7AEC"/>
    <w:rsid w:val="00BD24CA"/>
    <w:rsid w:val="00BD449A"/>
    <w:rsid w:val="00BF3002"/>
    <w:rsid w:val="00C1093A"/>
    <w:rsid w:val="00C41A1A"/>
    <w:rsid w:val="00C53D46"/>
    <w:rsid w:val="00C73306"/>
    <w:rsid w:val="00C765C5"/>
    <w:rsid w:val="00C80E85"/>
    <w:rsid w:val="00C82FDC"/>
    <w:rsid w:val="00C86FAD"/>
    <w:rsid w:val="00C90D56"/>
    <w:rsid w:val="00C970D4"/>
    <w:rsid w:val="00CA2B65"/>
    <w:rsid w:val="00CD2CD3"/>
    <w:rsid w:val="00CD4E91"/>
    <w:rsid w:val="00CD5863"/>
    <w:rsid w:val="00CE0ED6"/>
    <w:rsid w:val="00D310D1"/>
    <w:rsid w:val="00D378EB"/>
    <w:rsid w:val="00D427BB"/>
    <w:rsid w:val="00D514C7"/>
    <w:rsid w:val="00D52C97"/>
    <w:rsid w:val="00D539D3"/>
    <w:rsid w:val="00D873B4"/>
    <w:rsid w:val="00DC0258"/>
    <w:rsid w:val="00DE04D1"/>
    <w:rsid w:val="00E2038B"/>
    <w:rsid w:val="00E242CF"/>
    <w:rsid w:val="00E40472"/>
    <w:rsid w:val="00E64C9C"/>
    <w:rsid w:val="00E73A27"/>
    <w:rsid w:val="00E8394D"/>
    <w:rsid w:val="00E85FC8"/>
    <w:rsid w:val="00E91D36"/>
    <w:rsid w:val="00EC3A7F"/>
    <w:rsid w:val="00EE58B2"/>
    <w:rsid w:val="00EE7310"/>
    <w:rsid w:val="00EF522C"/>
    <w:rsid w:val="00F0203D"/>
    <w:rsid w:val="00F07FCB"/>
    <w:rsid w:val="00F10680"/>
    <w:rsid w:val="00F1481E"/>
    <w:rsid w:val="00F33BD3"/>
    <w:rsid w:val="00F4564B"/>
    <w:rsid w:val="00F66D25"/>
    <w:rsid w:val="00F709CE"/>
    <w:rsid w:val="00F70C35"/>
    <w:rsid w:val="00F94500"/>
    <w:rsid w:val="00FB5396"/>
    <w:rsid w:val="00FC13EA"/>
    <w:rsid w:val="00FC1C3A"/>
    <w:rsid w:val="00FD4309"/>
    <w:rsid w:val="00FE016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7B46"/>
  <w15:docId w15:val="{4AA6AD6E-0901-40CD-8197-6DB498F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70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012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4D34"/>
    <w:pPr>
      <w:ind w:left="708"/>
    </w:pPr>
  </w:style>
  <w:style w:type="character" w:customStyle="1" w:styleId="ZhlavChar">
    <w:name w:val="Záhlaví Char"/>
    <w:link w:val="Zhlav"/>
    <w:rsid w:val="007E329D"/>
    <w:rPr>
      <w:sz w:val="24"/>
      <w:szCs w:val="24"/>
    </w:rPr>
  </w:style>
  <w:style w:type="paragraph" w:styleId="Normlnodsazen">
    <w:name w:val="Normal Indent"/>
    <w:basedOn w:val="Normln"/>
    <w:rsid w:val="002D1E50"/>
    <w:pPr>
      <w:ind w:left="708" w:firstLine="284"/>
      <w:jc w:val="both"/>
    </w:pPr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1F09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09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092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0925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0072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D3A6A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D3A6A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AF731C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AF731C"/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semiHidden/>
    <w:rsid w:val="00EE58B2"/>
    <w:pPr>
      <w:keepLines/>
      <w:spacing w:after="120" w:line="180" w:lineRule="exact"/>
      <w:ind w:left="284" w:hanging="284"/>
    </w:pPr>
    <w:rPr>
      <w:rFonts w:ascii="Verdana" w:hAnsi="Verdana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58B2"/>
    <w:rPr>
      <w:rFonts w:ascii="Verdana" w:hAnsi="Verdana"/>
      <w:sz w:val="18"/>
    </w:rPr>
  </w:style>
  <w:style w:type="character" w:styleId="Znakapoznpodarou">
    <w:name w:val="footnote reference"/>
    <w:basedOn w:val="Standardnpsmoodstavce"/>
    <w:semiHidden/>
    <w:rsid w:val="00EE58B2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cz/web/msp/seznam-v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DE9B-E228-4EB6-8EFB-6FECE1FB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620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cafe</dc:creator>
  <cp:keywords/>
  <cp:lastModifiedBy>Volejník Roman</cp:lastModifiedBy>
  <cp:revision>14</cp:revision>
  <cp:lastPrinted>2025-08-20T05:36:00Z</cp:lastPrinted>
  <dcterms:created xsi:type="dcterms:W3CDTF">2023-02-21T12:52:00Z</dcterms:created>
  <dcterms:modified xsi:type="dcterms:W3CDTF">2025-08-20T05:39:00Z</dcterms:modified>
</cp:coreProperties>
</file>